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0F1C0">
      <w:pPr>
        <w:rPr>
          <w:color w:val="auto"/>
          <w:highlight w:val="none"/>
        </w:rPr>
      </w:pPr>
    </w:p>
    <w:p w14:paraId="469D6D5B">
      <w:pPr>
        <w:spacing w:line="480" w:lineRule="auto"/>
        <w:ind w:firstLine="0" w:firstLineChars="0"/>
        <w:rPr>
          <w:rFonts w:ascii="Times New Roman" w:hAnsi="Times New Roman" w:eastAsia="黑体" w:cs="Times New Roman"/>
          <w:b/>
          <w:color w:val="auto"/>
          <w:kern w:val="0"/>
          <w:sz w:val="50"/>
          <w:szCs w:val="50"/>
          <w:highlight w:val="none"/>
          <w:lang w:bidi="en-US"/>
        </w:rPr>
      </w:pPr>
    </w:p>
    <w:p w14:paraId="3DE4DB7B">
      <w:pPr>
        <w:spacing w:line="480" w:lineRule="auto"/>
        <w:ind w:firstLine="0" w:firstLineChars="0"/>
        <w:rPr>
          <w:rFonts w:ascii="Times New Roman" w:hAnsi="Times New Roman" w:eastAsia="黑体" w:cs="Times New Roman"/>
          <w:b/>
          <w:color w:val="auto"/>
          <w:kern w:val="0"/>
          <w:sz w:val="50"/>
          <w:szCs w:val="50"/>
          <w:highlight w:val="none"/>
          <w:lang w:bidi="en-US"/>
        </w:rPr>
      </w:pPr>
    </w:p>
    <w:p w14:paraId="5443CD87">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14:paraId="0D4FD44E">
      <w:pPr>
        <w:spacing w:before="120" w:after="120" w:line="480" w:lineRule="auto"/>
        <w:ind w:firstLine="0" w:firstLineChars="0"/>
        <w:jc w:val="center"/>
        <w:rPr>
          <w:rFonts w:ascii="仿宋_GB2312" w:hAnsi="Arial"/>
          <w:b/>
          <w:color w:val="auto"/>
          <w:sz w:val="44"/>
          <w:szCs w:val="44"/>
          <w:highlight w:val="none"/>
        </w:rPr>
      </w:pPr>
      <w:r>
        <w:rPr>
          <w:rFonts w:hint="eastAsia" w:ascii="仿宋_GB2312" w:hAnsi="Arial"/>
          <w:b/>
          <w:color w:val="auto"/>
          <w:sz w:val="44"/>
          <w:szCs w:val="44"/>
          <w:highlight w:val="none"/>
        </w:rPr>
        <w:t>财政项目支出绩效评价报告</w:t>
      </w:r>
    </w:p>
    <w:p w14:paraId="5AA9CBCE">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14:paraId="430DF3CB">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14:paraId="7A004022">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14:paraId="4A893531">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14:paraId="3C72D8AD">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14:paraId="34807831">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14:paraId="395B8A65">
      <w:pPr>
        <w:spacing w:line="480" w:lineRule="auto"/>
        <w:ind w:firstLine="0" w:firstLineChars="0"/>
        <w:jc w:val="center"/>
        <w:rPr>
          <w:rFonts w:ascii="仿宋_GB2312" w:hAnsi="Times New Roman" w:cs="Times New Roman"/>
          <w:color w:val="auto"/>
          <w:kern w:val="0"/>
          <w:sz w:val="30"/>
          <w:szCs w:val="30"/>
          <w:highlight w:val="none"/>
          <w:lang w:bidi="en-US"/>
        </w:rPr>
      </w:pPr>
    </w:p>
    <w:p w14:paraId="2776A0F2">
      <w:pPr>
        <w:spacing w:line="480" w:lineRule="auto"/>
        <w:ind w:firstLine="1411" w:firstLineChars="441"/>
        <w:jc w:val="left"/>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项目名称：</w:t>
      </w:r>
      <w:r>
        <w:rPr>
          <w:rFonts w:hint="eastAsia" w:ascii="仿宋_GB2312" w:hAnsi="Times New Roman" w:cs="Times New Roman"/>
          <w:color w:val="auto"/>
          <w:kern w:val="0"/>
          <w:sz w:val="32"/>
          <w:szCs w:val="32"/>
          <w:highlight w:val="none"/>
          <w:lang w:val="en-US" w:eastAsia="zh-CN" w:bidi="en-US"/>
        </w:rPr>
        <w:t>社区经费（80%）</w:t>
      </w:r>
    </w:p>
    <w:p w14:paraId="0F14A24B">
      <w:pPr>
        <w:spacing w:line="480" w:lineRule="auto"/>
        <w:ind w:left="280" w:leftChars="100" w:firstLine="1091" w:firstLineChars="341"/>
        <w:jc w:val="left"/>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项目单位：</w:t>
      </w:r>
      <w:r>
        <w:rPr>
          <w:rFonts w:hint="eastAsia" w:ascii="仿宋_GB2312" w:hAnsi="Times New Roman" w:cs="Times New Roman"/>
          <w:color w:val="auto"/>
          <w:kern w:val="0"/>
          <w:sz w:val="32"/>
          <w:szCs w:val="32"/>
          <w:highlight w:val="none"/>
          <w:lang w:val="en-US" w:eastAsia="zh-CN" w:bidi="en-US"/>
        </w:rPr>
        <w:t>乌鲁木齐市水磨沟区水磨沟街道办事处</w:t>
      </w:r>
      <w:r>
        <w:rPr>
          <w:rFonts w:ascii="仿宋_GB2312" w:hAnsi="Times New Roman" w:cs="Times New Roman"/>
          <w:color w:val="auto"/>
          <w:kern w:val="0"/>
          <w:sz w:val="32"/>
          <w:szCs w:val="32"/>
          <w:highlight w:val="none"/>
          <w:lang w:bidi="en-US"/>
        </w:rPr>
        <w:t xml:space="preserve"> </w:t>
      </w:r>
    </w:p>
    <w:p w14:paraId="6BD60DE3">
      <w:pPr>
        <w:spacing w:line="480" w:lineRule="auto"/>
        <w:ind w:left="280" w:leftChars="100" w:firstLine="1091" w:firstLineChars="341"/>
        <w:jc w:val="left"/>
        <w:rPr>
          <w:rFonts w:hint="default" w:ascii="仿宋_GB2312" w:hAnsi="Times New Roman" w:eastAsia="仿宋_GB2312" w:cs="Times New Roman"/>
          <w:color w:val="auto"/>
          <w:kern w:val="0"/>
          <w:sz w:val="32"/>
          <w:szCs w:val="32"/>
          <w:highlight w:val="none"/>
          <w:lang w:val="en-US" w:eastAsia="zh-CN" w:bidi="en-US"/>
        </w:rPr>
      </w:pPr>
      <w:r>
        <w:rPr>
          <w:rFonts w:hint="eastAsia" w:ascii="仿宋_GB2312" w:hAnsi="Times New Roman" w:cs="Times New Roman"/>
          <w:color w:val="auto"/>
          <w:kern w:val="0"/>
          <w:sz w:val="32"/>
          <w:szCs w:val="32"/>
          <w:highlight w:val="none"/>
          <w:lang w:bidi="en-US"/>
        </w:rPr>
        <w:t>主管部门：</w:t>
      </w:r>
      <w:r>
        <w:rPr>
          <w:rFonts w:hint="eastAsia" w:ascii="仿宋_GB2312" w:hAnsi="Times New Roman" w:cs="Times New Roman"/>
          <w:color w:val="auto"/>
          <w:kern w:val="0"/>
          <w:sz w:val="32"/>
          <w:szCs w:val="32"/>
          <w:highlight w:val="none"/>
          <w:lang w:val="en-US" w:eastAsia="zh-CN" w:bidi="en-US"/>
        </w:rPr>
        <w:t>乌鲁木齐市水磨沟区水磨沟街道办事处</w:t>
      </w:r>
    </w:p>
    <w:p w14:paraId="293EFF24">
      <w:pPr>
        <w:spacing w:line="480" w:lineRule="auto"/>
        <w:ind w:firstLine="1411" w:firstLineChars="441"/>
        <w:jc w:val="left"/>
        <w:rPr>
          <w:rFonts w:ascii="仿宋_GB2312" w:hAnsi="Times New Roman" w:cs="Times New Roman"/>
          <w:color w:val="auto"/>
          <w:kern w:val="0"/>
          <w:sz w:val="32"/>
          <w:szCs w:val="32"/>
          <w:highlight w:val="none"/>
          <w:lang w:bidi="en-US"/>
        </w:rPr>
      </w:pPr>
    </w:p>
    <w:p w14:paraId="347E33CE">
      <w:pPr>
        <w:spacing w:line="480" w:lineRule="auto"/>
        <w:ind w:firstLine="0" w:firstLineChars="0"/>
        <w:rPr>
          <w:rFonts w:ascii="黑体" w:hAnsi="Times New Roman" w:eastAsia="黑体" w:cs="Times New Roman"/>
          <w:b/>
          <w:color w:val="auto"/>
          <w:kern w:val="0"/>
          <w:sz w:val="32"/>
          <w:szCs w:val="32"/>
          <w:highlight w:val="none"/>
          <w:lang w:bidi="en-US"/>
        </w:rPr>
      </w:pPr>
    </w:p>
    <w:p w14:paraId="752DF1A5">
      <w:pPr>
        <w:spacing w:line="480" w:lineRule="auto"/>
        <w:ind w:firstLine="0" w:firstLineChars="0"/>
        <w:rPr>
          <w:rFonts w:ascii="黑体" w:hAnsi="Times New Roman" w:eastAsia="黑体" w:cs="Times New Roman"/>
          <w:b/>
          <w:color w:val="auto"/>
          <w:kern w:val="0"/>
          <w:sz w:val="32"/>
          <w:szCs w:val="32"/>
          <w:highlight w:val="none"/>
          <w:lang w:bidi="en-US"/>
        </w:rPr>
      </w:pPr>
    </w:p>
    <w:p w14:paraId="41EEEB62">
      <w:pPr>
        <w:spacing w:line="480" w:lineRule="auto"/>
        <w:ind w:firstLine="0" w:firstLineChars="0"/>
        <w:jc w:val="center"/>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202</w:t>
      </w:r>
      <w:r>
        <w:rPr>
          <w:rFonts w:hint="eastAsia" w:ascii="仿宋_GB2312" w:hAnsi="Times New Roman" w:cs="Times New Roman"/>
          <w:color w:val="auto"/>
          <w:kern w:val="0"/>
          <w:sz w:val="32"/>
          <w:szCs w:val="32"/>
          <w:highlight w:val="none"/>
          <w:lang w:val="en-US" w:eastAsia="zh-CN" w:bidi="en-US"/>
        </w:rPr>
        <w:t>5</w:t>
      </w:r>
      <w:r>
        <w:rPr>
          <w:rFonts w:hint="eastAsia" w:ascii="仿宋_GB2312" w:hAnsi="Times New Roman" w:cs="Times New Roman"/>
          <w:color w:val="auto"/>
          <w:kern w:val="0"/>
          <w:sz w:val="32"/>
          <w:szCs w:val="32"/>
          <w:highlight w:val="none"/>
          <w:lang w:bidi="en-US"/>
        </w:rPr>
        <w:t>年0</w:t>
      </w:r>
      <w:r>
        <w:rPr>
          <w:rFonts w:ascii="仿宋_GB2312" w:hAnsi="Times New Roman" w:cs="Times New Roman"/>
          <w:color w:val="auto"/>
          <w:kern w:val="0"/>
          <w:sz w:val="32"/>
          <w:szCs w:val="32"/>
          <w:highlight w:val="none"/>
          <w:lang w:bidi="en-US"/>
        </w:rPr>
        <w:t>4</w:t>
      </w:r>
      <w:r>
        <w:rPr>
          <w:rFonts w:hint="eastAsia" w:ascii="仿宋_GB2312" w:hAnsi="Times New Roman" w:cs="Times New Roman"/>
          <w:color w:val="auto"/>
          <w:kern w:val="0"/>
          <w:sz w:val="32"/>
          <w:szCs w:val="32"/>
          <w:highlight w:val="none"/>
          <w:lang w:bidi="en-US"/>
        </w:rPr>
        <w:t>月</w:t>
      </w:r>
    </w:p>
    <w:p w14:paraId="1C1C3773">
      <w:pPr>
        <w:spacing w:line="480" w:lineRule="auto"/>
        <w:ind w:firstLine="0" w:firstLineChars="0"/>
        <w:jc w:val="center"/>
        <w:rPr>
          <w:rFonts w:ascii="仿宋_GB2312" w:hAnsi="Times New Roman" w:cs="Times New Roman"/>
          <w:color w:val="auto"/>
          <w:kern w:val="0"/>
          <w:sz w:val="32"/>
          <w:szCs w:val="32"/>
          <w:highlight w:val="none"/>
          <w:lang w:bidi="en-US"/>
        </w:rPr>
      </w:pPr>
    </w:p>
    <w:p w14:paraId="772263AC">
      <w:pPr>
        <w:tabs>
          <w:tab w:val="left" w:pos="3324"/>
        </w:tabs>
        <w:spacing w:line="480" w:lineRule="auto"/>
        <w:ind w:firstLine="0" w:firstLineChars="0"/>
        <w:rPr>
          <w:rFonts w:ascii="仿宋_GB2312" w:hAnsi="Times New Roman" w:cs="Times New Roman"/>
          <w:color w:val="auto"/>
          <w:kern w:val="0"/>
          <w:sz w:val="32"/>
          <w:szCs w:val="32"/>
          <w:highlight w:val="none"/>
          <w:lang w:bidi="en-US"/>
        </w:rPr>
      </w:pPr>
      <w:r>
        <w:rPr>
          <w:rFonts w:ascii="仿宋_GB2312" w:hAnsi="Times New Roman" w:cs="Times New Roman"/>
          <w:color w:val="auto"/>
          <w:kern w:val="0"/>
          <w:sz w:val="32"/>
          <w:szCs w:val="32"/>
          <w:highlight w:val="none"/>
          <w:lang w:bidi="en-US"/>
        </w:rPr>
        <w:tab/>
      </w:r>
    </w:p>
    <w:p w14:paraId="59DC51F6">
      <w:pPr>
        <w:ind w:firstLine="640"/>
        <w:rPr>
          <w:rFonts w:ascii="仿宋_GB2312" w:hAnsi="Times New Roman" w:cs="Times New Roman"/>
          <w:color w:val="auto"/>
          <w:kern w:val="0"/>
          <w:sz w:val="32"/>
          <w:szCs w:val="32"/>
          <w:highlight w:val="none"/>
          <w:lang w:bidi="en-US"/>
        </w:rPr>
      </w:pPr>
    </w:p>
    <w:sdt>
      <w:sdtPr>
        <w:rPr>
          <w:rFonts w:ascii="Calibri" w:hAnsi="Calibri" w:eastAsia="仿宋_GB2312" w:cs="黑体"/>
          <w:color w:val="auto"/>
          <w:kern w:val="2"/>
          <w:sz w:val="28"/>
          <w:szCs w:val="22"/>
          <w:highlight w:val="none"/>
          <w:lang w:val="zh-CN"/>
        </w:rPr>
        <w:id w:val="-1822651860"/>
        <w:docPartObj>
          <w:docPartGallery w:val="Table of Contents"/>
          <w:docPartUnique/>
        </w:docPartObj>
      </w:sdtPr>
      <w:sdtEndPr>
        <w:rPr>
          <w:rFonts w:ascii="Calibri" w:hAnsi="Calibri" w:eastAsia="仿宋_GB2312" w:cs="黑体"/>
          <w:b/>
          <w:bCs/>
          <w:color w:val="auto"/>
          <w:kern w:val="2"/>
          <w:sz w:val="28"/>
          <w:szCs w:val="22"/>
          <w:highlight w:val="none"/>
          <w:lang w:val="zh-CN"/>
        </w:rPr>
      </w:sdtEndPr>
      <w:sdtContent>
        <w:p w14:paraId="38519BA9">
          <w:pPr>
            <w:pStyle w:val="30"/>
            <w:ind w:firstLine="560"/>
            <w:jc w:val="center"/>
            <w:rPr>
              <w:color w:val="auto"/>
              <w:highlight w:val="none"/>
            </w:rPr>
          </w:pPr>
          <w:r>
            <w:rPr>
              <w:color w:val="auto"/>
              <w:highlight w:val="none"/>
              <w:lang w:val="zh-CN"/>
            </w:rPr>
            <w:t>目录</w:t>
          </w:r>
        </w:p>
        <w:p w14:paraId="697B085E">
          <w:pPr>
            <w:pStyle w:val="10"/>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TOC \o "1-3" \h \z \u</w:instrText>
          </w:r>
          <w:r>
            <w:rPr>
              <w:color w:val="auto"/>
              <w:highlight w:val="none"/>
            </w:rPr>
            <w:fldChar w:fldCharType="separate"/>
          </w:r>
          <w:r>
            <w:rPr>
              <w:rStyle w:val="17"/>
              <w:color w:val="auto"/>
              <w:highlight w:val="none"/>
            </w:rPr>
            <w:fldChar w:fldCharType="begin"/>
          </w:r>
          <w:r>
            <w:rPr>
              <w:rStyle w:val="17"/>
              <w:color w:val="auto"/>
              <w:highlight w:val="none"/>
            </w:rPr>
            <w:instrText xml:space="preserve"> </w:instrText>
          </w:r>
          <w:r>
            <w:rPr>
              <w:color w:val="auto"/>
              <w:highlight w:val="none"/>
            </w:rPr>
            <w:instrText xml:space="preserve">HYPERLINK \l "_Toc196487532"</w:instrText>
          </w:r>
          <w:r>
            <w:rPr>
              <w:rStyle w:val="17"/>
              <w:color w:val="auto"/>
              <w:highlight w:val="none"/>
            </w:rPr>
            <w:instrText xml:space="preserve"> </w:instrText>
          </w:r>
          <w:r>
            <w:rPr>
              <w:rStyle w:val="17"/>
              <w:color w:val="auto"/>
              <w:highlight w:val="none"/>
            </w:rPr>
            <w:fldChar w:fldCharType="separate"/>
          </w:r>
          <w:r>
            <w:rPr>
              <w:rStyle w:val="17"/>
              <w:rFonts w:hint="eastAsia" w:ascii="仿宋" w:hAnsi="仿宋" w:eastAsia="仿宋"/>
              <w:color w:val="auto"/>
              <w:highlight w:val="none"/>
              <w:lang w:bidi="en-US"/>
            </w:rPr>
            <w:t>一、基本情况</w:t>
          </w:r>
          <w:r>
            <w:rPr>
              <w:color w:val="auto"/>
              <w:highlight w:val="none"/>
            </w:rPr>
            <w:tab/>
          </w:r>
          <w:r>
            <w:rPr>
              <w:color w:val="auto"/>
              <w:highlight w:val="none"/>
            </w:rPr>
            <w:fldChar w:fldCharType="begin"/>
          </w:r>
          <w:r>
            <w:rPr>
              <w:color w:val="auto"/>
              <w:highlight w:val="none"/>
            </w:rPr>
            <w:instrText xml:space="preserve"> PAGEREF _Toc196487532 \h </w:instrText>
          </w:r>
          <w:r>
            <w:rPr>
              <w:color w:val="auto"/>
              <w:highlight w:val="none"/>
            </w:rPr>
            <w:fldChar w:fldCharType="separate"/>
          </w:r>
          <w:r>
            <w:rPr>
              <w:color w:val="auto"/>
              <w:highlight w:val="none"/>
            </w:rPr>
            <w:t>1</w:t>
          </w:r>
          <w:r>
            <w:rPr>
              <w:color w:val="auto"/>
              <w:highlight w:val="none"/>
            </w:rPr>
            <w:fldChar w:fldCharType="end"/>
          </w:r>
          <w:r>
            <w:rPr>
              <w:rStyle w:val="17"/>
              <w:color w:val="auto"/>
              <w:highlight w:val="none"/>
            </w:rPr>
            <w:fldChar w:fldCharType="end"/>
          </w:r>
        </w:p>
        <w:p w14:paraId="4B2AB153">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"_Toc196487533" </w:instrText>
          </w:r>
          <w:r>
            <w:rPr>
              <w:color w:val="auto"/>
              <w:highlight w:val="none"/>
            </w:rPr>
            <w:fldChar w:fldCharType="separate"/>
          </w:r>
          <w:r>
            <w:rPr>
              <w:rStyle w:val="17"/>
              <w:rFonts w:hint="eastAsia" w:ascii="仿宋" w:hAnsi="仿宋" w:eastAsia="仿宋"/>
              <w:color w:val="auto"/>
              <w:highlight w:val="none"/>
              <w:lang w:bidi="en-US"/>
            </w:rPr>
            <w:t>（一）项目概况：</w:t>
          </w:r>
          <w:r>
            <w:rPr>
              <w:color w:val="auto"/>
              <w:highlight w:val="none"/>
            </w:rPr>
            <w:tab/>
          </w:r>
          <w:r>
            <w:rPr>
              <w:color w:val="auto"/>
              <w:highlight w:val="none"/>
            </w:rPr>
            <w:fldChar w:fldCharType="begin"/>
          </w:r>
          <w:r>
            <w:rPr>
              <w:color w:val="auto"/>
              <w:highlight w:val="none"/>
            </w:rPr>
            <w:instrText xml:space="preserve"> PAGEREF _Toc196487533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6E285EC0">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"_Toc196487534" </w:instrText>
          </w:r>
          <w:r>
            <w:rPr>
              <w:color w:val="auto"/>
              <w:highlight w:val="none"/>
            </w:rPr>
            <w:fldChar w:fldCharType="separate"/>
          </w:r>
          <w:r>
            <w:rPr>
              <w:rStyle w:val="17"/>
              <w:color w:val="auto"/>
              <w:highlight w:val="none"/>
            </w:rPr>
            <w:t>1</w:t>
          </w:r>
          <w:r>
            <w:rPr>
              <w:rStyle w:val="17"/>
              <w:rFonts w:hint="eastAsia"/>
              <w:color w:val="auto"/>
              <w:highlight w:val="none"/>
            </w:rPr>
            <w:t>．项目背景、主要内容及实施情况</w:t>
          </w:r>
          <w:r>
            <w:rPr>
              <w:color w:val="auto"/>
              <w:highlight w:val="none"/>
            </w:rPr>
            <w:tab/>
          </w:r>
          <w:r>
            <w:rPr>
              <w:color w:val="auto"/>
              <w:highlight w:val="none"/>
            </w:rPr>
            <w:fldChar w:fldCharType="begin"/>
          </w:r>
          <w:r>
            <w:rPr>
              <w:color w:val="auto"/>
              <w:highlight w:val="none"/>
            </w:rPr>
            <w:instrText xml:space="preserve"> PAGEREF _Toc196487534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74698215">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"_Toc196487535" </w:instrText>
          </w:r>
          <w:r>
            <w:rPr>
              <w:color w:val="auto"/>
              <w:highlight w:val="none"/>
            </w:rPr>
            <w:fldChar w:fldCharType="separate"/>
          </w:r>
          <w:r>
            <w:rPr>
              <w:rStyle w:val="17"/>
              <w:color w:val="auto"/>
              <w:highlight w:val="none"/>
            </w:rPr>
            <w:t>2.</w:t>
          </w:r>
          <w:r>
            <w:rPr>
              <w:rStyle w:val="17"/>
              <w:rFonts w:hint="eastAsia"/>
              <w:color w:val="auto"/>
              <w:highlight w:val="none"/>
            </w:rPr>
            <w:t>资金投入和使用情况</w:t>
          </w:r>
          <w:r>
            <w:rPr>
              <w:color w:val="auto"/>
              <w:highlight w:val="none"/>
            </w:rPr>
            <w:tab/>
          </w:r>
          <w:r>
            <w:rPr>
              <w:color w:val="auto"/>
              <w:highlight w:val="none"/>
            </w:rPr>
            <w:fldChar w:fldCharType="begin"/>
          </w:r>
          <w:r>
            <w:rPr>
              <w:color w:val="auto"/>
              <w:highlight w:val="none"/>
            </w:rPr>
            <w:instrText xml:space="preserve"> PAGEREF _Toc196487535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4B067660">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"_Toc196487536" </w:instrText>
          </w:r>
          <w:r>
            <w:rPr>
              <w:color w:val="auto"/>
              <w:highlight w:val="none"/>
            </w:rPr>
            <w:fldChar w:fldCharType="separate"/>
          </w:r>
          <w:r>
            <w:rPr>
              <w:rStyle w:val="17"/>
              <w:rFonts w:hint="eastAsia" w:ascii="仿宋" w:hAnsi="仿宋" w:eastAsia="仿宋"/>
              <w:color w:val="auto"/>
              <w:highlight w:val="none"/>
              <w:lang w:bidi="en-US"/>
            </w:rPr>
            <w:t>（二）项目绩效目标：</w:t>
          </w:r>
          <w:r>
            <w:rPr>
              <w:color w:val="auto"/>
              <w:highlight w:val="none"/>
            </w:rPr>
            <w:tab/>
          </w:r>
          <w:r>
            <w:rPr>
              <w:color w:val="auto"/>
              <w:highlight w:val="none"/>
            </w:rPr>
            <w:fldChar w:fldCharType="begin"/>
          </w:r>
          <w:r>
            <w:rPr>
              <w:color w:val="auto"/>
              <w:highlight w:val="none"/>
            </w:rPr>
            <w:instrText xml:space="preserve"> PAGEREF _Toc196487536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76687C2F">
          <w:pPr>
            <w:pStyle w:val="10"/>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"_Toc196487537" </w:instrText>
          </w:r>
          <w:r>
            <w:rPr>
              <w:color w:val="auto"/>
              <w:highlight w:val="none"/>
            </w:rPr>
            <w:fldChar w:fldCharType="separate"/>
          </w:r>
          <w:r>
            <w:rPr>
              <w:rStyle w:val="17"/>
              <w:rFonts w:hint="eastAsia" w:ascii="仿宋" w:hAnsi="仿宋" w:eastAsia="仿宋"/>
              <w:color w:val="auto"/>
              <w:highlight w:val="none"/>
              <w:lang w:bidi="en-US"/>
            </w:rPr>
            <w:t>二、绩效评价工作开展情况</w:t>
          </w:r>
          <w:r>
            <w:rPr>
              <w:color w:val="auto"/>
              <w:highlight w:val="none"/>
            </w:rPr>
            <w:tab/>
          </w:r>
          <w:r>
            <w:rPr>
              <w:color w:val="auto"/>
              <w:highlight w:val="none"/>
            </w:rPr>
            <w:fldChar w:fldCharType="begin"/>
          </w:r>
          <w:r>
            <w:rPr>
              <w:color w:val="auto"/>
              <w:highlight w:val="none"/>
            </w:rPr>
            <w:instrText xml:space="preserve"> PAGEREF _Toc196487537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14:paraId="2F444625">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"_Toc196487538" </w:instrText>
          </w:r>
          <w:r>
            <w:rPr>
              <w:color w:val="auto"/>
              <w:highlight w:val="none"/>
            </w:rPr>
            <w:fldChar w:fldCharType="separate"/>
          </w:r>
          <w:r>
            <w:rPr>
              <w:rStyle w:val="17"/>
              <w:rFonts w:hint="eastAsia" w:ascii="仿宋" w:hAnsi="仿宋" w:eastAsia="仿宋"/>
              <w:color w:val="auto"/>
              <w:highlight w:val="none"/>
              <w:lang w:bidi="en-US"/>
            </w:rPr>
            <w:t>（一）绩效评价目的、对象和范围</w:t>
          </w:r>
          <w:r>
            <w:rPr>
              <w:color w:val="auto"/>
              <w:highlight w:val="none"/>
            </w:rPr>
            <w:tab/>
          </w:r>
          <w:r>
            <w:rPr>
              <w:color w:val="auto"/>
              <w:highlight w:val="none"/>
            </w:rPr>
            <w:fldChar w:fldCharType="begin"/>
          </w:r>
          <w:r>
            <w:rPr>
              <w:color w:val="auto"/>
              <w:highlight w:val="none"/>
            </w:rPr>
            <w:instrText xml:space="preserve"> PAGEREF _Toc196487538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14:paraId="13322537">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"_Toc196487539" </w:instrText>
          </w:r>
          <w:r>
            <w:rPr>
              <w:color w:val="auto"/>
              <w:highlight w:val="none"/>
            </w:rPr>
            <w:fldChar w:fldCharType="separate"/>
          </w:r>
          <w:r>
            <w:rPr>
              <w:rStyle w:val="17"/>
              <w:color w:val="auto"/>
              <w:highlight w:val="none"/>
            </w:rPr>
            <w:t>1.</w:t>
          </w:r>
          <w:r>
            <w:rPr>
              <w:rStyle w:val="17"/>
              <w:rFonts w:hint="eastAsia"/>
              <w:color w:val="auto"/>
              <w:highlight w:val="none"/>
            </w:rPr>
            <w:t>绩效评价完整性</w:t>
          </w:r>
          <w:r>
            <w:rPr>
              <w:color w:val="auto"/>
              <w:highlight w:val="none"/>
            </w:rPr>
            <w:tab/>
          </w:r>
          <w:r>
            <w:rPr>
              <w:color w:val="auto"/>
              <w:highlight w:val="none"/>
            </w:rPr>
            <w:fldChar w:fldCharType="begin"/>
          </w:r>
          <w:r>
            <w:rPr>
              <w:color w:val="auto"/>
              <w:highlight w:val="none"/>
            </w:rPr>
            <w:instrText xml:space="preserve"> PAGEREF _Toc196487539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14:paraId="3B1EAE83">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"_Toc196487540" </w:instrText>
          </w:r>
          <w:r>
            <w:rPr>
              <w:color w:val="auto"/>
              <w:highlight w:val="none"/>
            </w:rPr>
            <w:fldChar w:fldCharType="separate"/>
          </w:r>
          <w:r>
            <w:rPr>
              <w:rStyle w:val="17"/>
              <w:color w:val="auto"/>
              <w:highlight w:val="none"/>
            </w:rPr>
            <w:t>2.</w:t>
          </w:r>
          <w:r>
            <w:rPr>
              <w:rStyle w:val="17"/>
              <w:rFonts w:hint="eastAsia"/>
              <w:color w:val="auto"/>
              <w:highlight w:val="none"/>
            </w:rPr>
            <w:t>评价目的</w:t>
          </w:r>
          <w:r>
            <w:rPr>
              <w:color w:val="auto"/>
              <w:highlight w:val="none"/>
            </w:rPr>
            <w:tab/>
          </w:r>
          <w:r>
            <w:rPr>
              <w:color w:val="auto"/>
              <w:highlight w:val="none"/>
            </w:rPr>
            <w:fldChar w:fldCharType="begin"/>
          </w:r>
          <w:r>
            <w:rPr>
              <w:color w:val="auto"/>
              <w:highlight w:val="none"/>
            </w:rPr>
            <w:instrText xml:space="preserve"> PAGEREF _Toc196487540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6170A402">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"_Toc196487541" </w:instrText>
          </w:r>
          <w:r>
            <w:rPr>
              <w:color w:val="auto"/>
              <w:highlight w:val="none"/>
            </w:rPr>
            <w:fldChar w:fldCharType="separate"/>
          </w:r>
          <w:r>
            <w:rPr>
              <w:rStyle w:val="17"/>
              <w:color w:val="auto"/>
              <w:highlight w:val="none"/>
            </w:rPr>
            <w:t>3.</w:t>
          </w:r>
          <w:r>
            <w:rPr>
              <w:rStyle w:val="17"/>
              <w:rFonts w:hint="eastAsia"/>
              <w:color w:val="auto"/>
              <w:highlight w:val="none"/>
            </w:rPr>
            <w:t>评价对象</w:t>
          </w:r>
          <w:r>
            <w:rPr>
              <w:color w:val="auto"/>
              <w:highlight w:val="none"/>
            </w:rPr>
            <w:tab/>
          </w:r>
          <w:r>
            <w:rPr>
              <w:color w:val="auto"/>
              <w:highlight w:val="none"/>
            </w:rPr>
            <w:fldChar w:fldCharType="begin"/>
          </w:r>
          <w:r>
            <w:rPr>
              <w:color w:val="auto"/>
              <w:highlight w:val="none"/>
            </w:rPr>
            <w:instrText xml:space="preserve"> PAGEREF _Toc196487541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18AA0AD3">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"_Toc196487542" </w:instrText>
          </w:r>
          <w:r>
            <w:rPr>
              <w:color w:val="auto"/>
              <w:highlight w:val="none"/>
            </w:rPr>
            <w:fldChar w:fldCharType="separate"/>
          </w:r>
          <w:r>
            <w:rPr>
              <w:rStyle w:val="17"/>
              <w:color w:val="auto"/>
              <w:highlight w:val="none"/>
            </w:rPr>
            <w:t>4.</w:t>
          </w:r>
          <w:r>
            <w:rPr>
              <w:rStyle w:val="17"/>
              <w:rFonts w:hint="eastAsia"/>
              <w:color w:val="auto"/>
              <w:highlight w:val="none"/>
            </w:rPr>
            <w:t>绩效评价范围</w:t>
          </w:r>
          <w:r>
            <w:rPr>
              <w:color w:val="auto"/>
              <w:highlight w:val="none"/>
            </w:rPr>
            <w:tab/>
          </w:r>
          <w:r>
            <w:rPr>
              <w:color w:val="auto"/>
              <w:highlight w:val="none"/>
            </w:rPr>
            <w:fldChar w:fldCharType="begin"/>
          </w:r>
          <w:r>
            <w:rPr>
              <w:color w:val="auto"/>
              <w:highlight w:val="none"/>
            </w:rPr>
            <w:instrText xml:space="preserve"> PAGEREF _Toc196487542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1A2F4F39">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"_Toc196487543" </w:instrText>
          </w:r>
          <w:r>
            <w:rPr>
              <w:color w:val="auto"/>
              <w:highlight w:val="none"/>
            </w:rPr>
            <w:fldChar w:fldCharType="separate"/>
          </w:r>
          <w:r>
            <w:rPr>
              <w:rStyle w:val="17"/>
              <w:rFonts w:hint="eastAsia" w:ascii="仿宋" w:hAnsi="仿宋" w:eastAsia="仿宋"/>
              <w:color w:val="auto"/>
              <w:highlight w:val="none"/>
              <w:lang w:bidi="en-US"/>
            </w:rPr>
            <w:t>（二）绩效评价原则、指标体系、方法及标准</w:t>
          </w:r>
          <w:r>
            <w:rPr>
              <w:color w:val="auto"/>
              <w:highlight w:val="none"/>
            </w:rPr>
            <w:tab/>
          </w:r>
          <w:r>
            <w:rPr>
              <w:color w:val="auto"/>
              <w:highlight w:val="none"/>
            </w:rPr>
            <w:fldChar w:fldCharType="begin"/>
          </w:r>
          <w:r>
            <w:rPr>
              <w:color w:val="auto"/>
              <w:highlight w:val="none"/>
            </w:rPr>
            <w:instrText xml:space="preserve"> PAGEREF _Toc196487543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14:paraId="75CCF401">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"_Toc196487544" </w:instrText>
          </w:r>
          <w:r>
            <w:rPr>
              <w:color w:val="auto"/>
              <w:highlight w:val="none"/>
            </w:rPr>
            <w:fldChar w:fldCharType="separate"/>
          </w:r>
          <w:r>
            <w:rPr>
              <w:rStyle w:val="17"/>
              <w:color w:val="auto"/>
              <w:highlight w:val="none"/>
            </w:rPr>
            <w:t>1.</w:t>
          </w:r>
          <w:r>
            <w:rPr>
              <w:rStyle w:val="17"/>
              <w:rFonts w:hint="eastAsia"/>
              <w:color w:val="auto"/>
              <w:highlight w:val="none"/>
            </w:rPr>
            <w:t>评价原则</w:t>
          </w:r>
          <w:r>
            <w:rPr>
              <w:color w:val="auto"/>
              <w:highlight w:val="none"/>
            </w:rPr>
            <w:tab/>
          </w:r>
          <w:r>
            <w:rPr>
              <w:color w:val="auto"/>
              <w:highlight w:val="none"/>
            </w:rPr>
            <w:fldChar w:fldCharType="begin"/>
          </w:r>
          <w:r>
            <w:rPr>
              <w:color w:val="auto"/>
              <w:highlight w:val="none"/>
            </w:rPr>
            <w:instrText xml:space="preserve"> PAGEREF _Toc196487544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14:paraId="2D75B3C0">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"_Toc196487545" </w:instrText>
          </w:r>
          <w:r>
            <w:rPr>
              <w:color w:val="auto"/>
              <w:highlight w:val="none"/>
            </w:rPr>
            <w:fldChar w:fldCharType="separate"/>
          </w:r>
          <w:r>
            <w:rPr>
              <w:rStyle w:val="17"/>
              <w:color w:val="auto"/>
              <w:highlight w:val="none"/>
            </w:rPr>
            <w:t>2.</w:t>
          </w:r>
          <w:r>
            <w:rPr>
              <w:rStyle w:val="17"/>
              <w:rFonts w:hint="eastAsia"/>
              <w:color w:val="auto"/>
              <w:highlight w:val="none"/>
            </w:rPr>
            <w:t>评价指标体系</w:t>
          </w:r>
          <w:r>
            <w:rPr>
              <w:color w:val="auto"/>
              <w:highlight w:val="none"/>
            </w:rPr>
            <w:tab/>
          </w:r>
          <w:r>
            <w:rPr>
              <w:color w:val="auto"/>
              <w:highlight w:val="none"/>
            </w:rPr>
            <w:fldChar w:fldCharType="begin"/>
          </w:r>
          <w:r>
            <w:rPr>
              <w:color w:val="auto"/>
              <w:highlight w:val="none"/>
            </w:rPr>
            <w:instrText xml:space="preserve"> PAGEREF _Toc196487545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14:paraId="4BC08261">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"_Toc196487546" </w:instrText>
          </w:r>
          <w:r>
            <w:rPr>
              <w:color w:val="auto"/>
              <w:highlight w:val="none"/>
            </w:rPr>
            <w:fldChar w:fldCharType="separate"/>
          </w:r>
          <w:r>
            <w:rPr>
              <w:rStyle w:val="17"/>
              <w:color w:val="auto"/>
              <w:highlight w:val="none"/>
            </w:rPr>
            <w:t>3.</w:t>
          </w:r>
          <w:r>
            <w:rPr>
              <w:rStyle w:val="17"/>
              <w:rFonts w:hint="eastAsia"/>
              <w:color w:val="auto"/>
              <w:highlight w:val="none"/>
            </w:rPr>
            <w:t>评价方法</w:t>
          </w:r>
          <w:r>
            <w:rPr>
              <w:color w:val="auto"/>
              <w:highlight w:val="none"/>
            </w:rPr>
            <w:tab/>
          </w:r>
          <w:r>
            <w:rPr>
              <w:color w:val="auto"/>
              <w:highlight w:val="none"/>
            </w:rPr>
            <w:fldChar w:fldCharType="begin"/>
          </w:r>
          <w:r>
            <w:rPr>
              <w:color w:val="auto"/>
              <w:highlight w:val="none"/>
            </w:rPr>
            <w:instrText xml:space="preserve"> PAGEREF _Toc196487546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14:paraId="5134BCD4">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"_Toc196487547" </w:instrText>
          </w:r>
          <w:r>
            <w:rPr>
              <w:color w:val="auto"/>
              <w:highlight w:val="none"/>
            </w:rPr>
            <w:fldChar w:fldCharType="separate"/>
          </w:r>
          <w:r>
            <w:rPr>
              <w:rStyle w:val="17"/>
              <w:color w:val="auto"/>
              <w:highlight w:val="none"/>
            </w:rPr>
            <w:t>4.</w:t>
          </w:r>
          <w:r>
            <w:rPr>
              <w:rStyle w:val="17"/>
              <w:rFonts w:hint="eastAsia"/>
              <w:color w:val="auto"/>
              <w:highlight w:val="none"/>
            </w:rPr>
            <w:t>评价标准</w:t>
          </w:r>
          <w:r>
            <w:rPr>
              <w:color w:val="auto"/>
              <w:highlight w:val="none"/>
            </w:rPr>
            <w:tab/>
          </w:r>
          <w:r>
            <w:rPr>
              <w:color w:val="auto"/>
              <w:highlight w:val="none"/>
            </w:rPr>
            <w:fldChar w:fldCharType="begin"/>
          </w:r>
          <w:r>
            <w:rPr>
              <w:color w:val="auto"/>
              <w:highlight w:val="none"/>
            </w:rPr>
            <w:instrText xml:space="preserve"> PAGEREF _Toc196487547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14:paraId="5FDEBAD9">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"_Toc196487548" </w:instrText>
          </w:r>
          <w:r>
            <w:rPr>
              <w:color w:val="auto"/>
              <w:highlight w:val="none"/>
            </w:rPr>
            <w:fldChar w:fldCharType="separate"/>
          </w:r>
          <w:r>
            <w:rPr>
              <w:rStyle w:val="17"/>
              <w:rFonts w:hint="eastAsia" w:ascii="仿宋" w:hAnsi="仿宋" w:eastAsia="仿宋"/>
              <w:color w:val="auto"/>
              <w:highlight w:val="none"/>
              <w:lang w:bidi="en-US"/>
            </w:rPr>
            <w:t>（三）绩效评价工作过程</w:t>
          </w:r>
          <w:r>
            <w:rPr>
              <w:color w:val="auto"/>
              <w:highlight w:val="none"/>
            </w:rPr>
            <w:tab/>
          </w:r>
          <w:r>
            <w:rPr>
              <w:color w:val="auto"/>
              <w:highlight w:val="none"/>
            </w:rPr>
            <w:fldChar w:fldCharType="begin"/>
          </w:r>
          <w:r>
            <w:rPr>
              <w:color w:val="auto"/>
              <w:highlight w:val="none"/>
            </w:rPr>
            <w:instrText xml:space="preserve"> PAGEREF _Toc196487548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14:paraId="1B139ACB">
          <w:pPr>
            <w:pStyle w:val="10"/>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"_Toc196487549" </w:instrText>
          </w:r>
          <w:r>
            <w:rPr>
              <w:color w:val="auto"/>
              <w:highlight w:val="none"/>
            </w:rPr>
            <w:fldChar w:fldCharType="separate"/>
          </w:r>
          <w:r>
            <w:rPr>
              <w:rStyle w:val="17"/>
              <w:rFonts w:hint="eastAsia" w:ascii="仿宋" w:hAnsi="仿宋" w:eastAsia="仿宋"/>
              <w:color w:val="auto"/>
              <w:highlight w:val="none"/>
              <w:lang w:bidi="en-US"/>
            </w:rPr>
            <w:t>三、综合评价情况及评价结论</w:t>
          </w:r>
          <w:r>
            <w:rPr>
              <w:color w:val="auto"/>
              <w:highlight w:val="none"/>
            </w:rPr>
            <w:tab/>
          </w:r>
          <w:r>
            <w:rPr>
              <w:color w:val="auto"/>
              <w:highlight w:val="none"/>
            </w:rPr>
            <w:fldChar w:fldCharType="begin"/>
          </w:r>
          <w:r>
            <w:rPr>
              <w:color w:val="auto"/>
              <w:highlight w:val="none"/>
            </w:rPr>
            <w:instrText xml:space="preserve"> PAGEREF _Toc196487549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14:paraId="1635DD97">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"_Toc196487550" </w:instrText>
          </w:r>
          <w:r>
            <w:rPr>
              <w:color w:val="auto"/>
              <w:highlight w:val="none"/>
            </w:rPr>
            <w:fldChar w:fldCharType="separate"/>
          </w:r>
          <w:r>
            <w:rPr>
              <w:rStyle w:val="17"/>
              <w:rFonts w:hint="eastAsia" w:ascii="仿宋" w:hAnsi="仿宋" w:eastAsia="仿宋"/>
              <w:color w:val="auto"/>
              <w:highlight w:val="none"/>
              <w:lang w:bidi="en-US"/>
            </w:rPr>
            <w:t>（一）评价结论</w:t>
          </w:r>
          <w:r>
            <w:rPr>
              <w:color w:val="auto"/>
              <w:highlight w:val="none"/>
            </w:rPr>
            <w:tab/>
          </w:r>
          <w:r>
            <w:rPr>
              <w:color w:val="auto"/>
              <w:highlight w:val="none"/>
            </w:rPr>
            <w:fldChar w:fldCharType="begin"/>
          </w:r>
          <w:r>
            <w:rPr>
              <w:color w:val="auto"/>
              <w:highlight w:val="none"/>
            </w:rPr>
            <w:instrText xml:space="preserve"> PAGEREF _Toc196487550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14:paraId="6A387E05">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"_Toc196487551" </w:instrText>
          </w:r>
          <w:r>
            <w:rPr>
              <w:color w:val="auto"/>
              <w:highlight w:val="none"/>
            </w:rPr>
            <w:fldChar w:fldCharType="separate"/>
          </w:r>
          <w:r>
            <w:rPr>
              <w:rStyle w:val="17"/>
              <w:rFonts w:hint="eastAsia" w:ascii="仿宋" w:hAnsi="仿宋" w:eastAsia="仿宋"/>
              <w:color w:val="auto"/>
              <w:highlight w:val="none"/>
              <w:lang w:bidi="en-US"/>
            </w:rPr>
            <w:t>（二）主要绩效</w:t>
          </w:r>
          <w:r>
            <w:rPr>
              <w:color w:val="auto"/>
              <w:highlight w:val="none"/>
            </w:rPr>
            <w:tab/>
          </w:r>
          <w:r>
            <w:rPr>
              <w:color w:val="auto"/>
              <w:highlight w:val="none"/>
            </w:rPr>
            <w:fldChar w:fldCharType="begin"/>
          </w:r>
          <w:r>
            <w:rPr>
              <w:color w:val="auto"/>
              <w:highlight w:val="none"/>
            </w:rPr>
            <w:instrText xml:space="preserve"> PAGEREF _Toc196487551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14:paraId="77D88138">
          <w:pPr>
            <w:pStyle w:val="10"/>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"_Toc196487552" </w:instrText>
          </w:r>
          <w:r>
            <w:rPr>
              <w:color w:val="auto"/>
              <w:highlight w:val="none"/>
            </w:rPr>
            <w:fldChar w:fldCharType="separate"/>
          </w:r>
          <w:r>
            <w:rPr>
              <w:rStyle w:val="17"/>
              <w:rFonts w:hint="eastAsia" w:ascii="仿宋" w:hAnsi="仿宋" w:eastAsia="仿宋"/>
              <w:color w:val="auto"/>
              <w:highlight w:val="none"/>
              <w:lang w:bidi="en-US"/>
            </w:rPr>
            <w:t>四、绩效评价指标分析</w:t>
          </w:r>
          <w:r>
            <w:rPr>
              <w:color w:val="auto"/>
              <w:highlight w:val="none"/>
            </w:rPr>
            <w:tab/>
          </w:r>
          <w:r>
            <w:rPr>
              <w:color w:val="auto"/>
              <w:highlight w:val="none"/>
            </w:rPr>
            <w:fldChar w:fldCharType="begin"/>
          </w:r>
          <w:r>
            <w:rPr>
              <w:color w:val="auto"/>
              <w:highlight w:val="none"/>
            </w:rPr>
            <w:instrText xml:space="preserve"> PAGEREF _Toc196487552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14:paraId="1C446B9F">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"_Toc196487553" </w:instrText>
          </w:r>
          <w:r>
            <w:rPr>
              <w:color w:val="auto"/>
              <w:highlight w:val="none"/>
            </w:rPr>
            <w:fldChar w:fldCharType="separate"/>
          </w:r>
          <w:r>
            <w:rPr>
              <w:rStyle w:val="17"/>
              <w:rFonts w:hint="eastAsia" w:ascii="仿宋" w:hAnsi="仿宋" w:eastAsia="仿宋"/>
              <w:color w:val="auto"/>
              <w:highlight w:val="none"/>
              <w:lang w:bidi="en-US"/>
            </w:rPr>
            <w:t>（一）项目决策情况</w:t>
          </w:r>
          <w:r>
            <w:rPr>
              <w:color w:val="auto"/>
              <w:highlight w:val="none"/>
            </w:rPr>
            <w:tab/>
          </w:r>
          <w:r>
            <w:rPr>
              <w:color w:val="auto"/>
              <w:highlight w:val="none"/>
            </w:rPr>
            <w:fldChar w:fldCharType="begin"/>
          </w:r>
          <w:r>
            <w:rPr>
              <w:color w:val="auto"/>
              <w:highlight w:val="none"/>
            </w:rPr>
            <w:instrText xml:space="preserve"> PAGEREF _Toc196487553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14:paraId="60AB8162">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"_Toc196487554" </w:instrText>
          </w:r>
          <w:r>
            <w:rPr>
              <w:color w:val="auto"/>
              <w:highlight w:val="none"/>
            </w:rPr>
            <w:fldChar w:fldCharType="separate"/>
          </w:r>
          <w:r>
            <w:rPr>
              <w:rStyle w:val="17"/>
              <w:color w:val="auto"/>
              <w:highlight w:val="none"/>
            </w:rPr>
            <w:t>1.</w:t>
          </w:r>
          <w:r>
            <w:rPr>
              <w:rStyle w:val="17"/>
              <w:rFonts w:hint="eastAsia"/>
              <w:color w:val="auto"/>
              <w:highlight w:val="none"/>
            </w:rPr>
            <w:t>项目立项</w:t>
          </w:r>
          <w:r>
            <w:rPr>
              <w:color w:val="auto"/>
              <w:highlight w:val="none"/>
            </w:rPr>
            <w:tab/>
          </w:r>
          <w:r>
            <w:rPr>
              <w:color w:val="auto"/>
              <w:highlight w:val="none"/>
            </w:rPr>
            <w:fldChar w:fldCharType="begin"/>
          </w:r>
          <w:r>
            <w:rPr>
              <w:color w:val="auto"/>
              <w:highlight w:val="none"/>
            </w:rPr>
            <w:instrText xml:space="preserve"> PAGEREF _Toc196487554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14:paraId="250F2DC3">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"_Toc196487555" </w:instrText>
          </w:r>
          <w:r>
            <w:rPr>
              <w:color w:val="auto"/>
              <w:highlight w:val="none"/>
            </w:rPr>
            <w:fldChar w:fldCharType="separate"/>
          </w:r>
          <w:r>
            <w:rPr>
              <w:rStyle w:val="17"/>
              <w:color w:val="auto"/>
              <w:highlight w:val="none"/>
            </w:rPr>
            <w:t>2.</w:t>
          </w:r>
          <w:r>
            <w:rPr>
              <w:rStyle w:val="17"/>
              <w:rFonts w:hint="eastAsia"/>
              <w:color w:val="auto"/>
              <w:highlight w:val="none"/>
            </w:rPr>
            <w:t>绩效目标</w:t>
          </w:r>
          <w:r>
            <w:rPr>
              <w:color w:val="auto"/>
              <w:highlight w:val="none"/>
            </w:rPr>
            <w:tab/>
          </w:r>
          <w:r>
            <w:rPr>
              <w:color w:val="auto"/>
              <w:highlight w:val="none"/>
            </w:rPr>
            <w:fldChar w:fldCharType="begin"/>
          </w:r>
          <w:r>
            <w:rPr>
              <w:color w:val="auto"/>
              <w:highlight w:val="none"/>
            </w:rPr>
            <w:instrText xml:space="preserve"> PAGEREF _Toc196487555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14:paraId="7391E7A6">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"_Toc196487556" </w:instrText>
          </w:r>
          <w:r>
            <w:rPr>
              <w:color w:val="auto"/>
              <w:highlight w:val="none"/>
            </w:rPr>
            <w:fldChar w:fldCharType="separate"/>
          </w:r>
          <w:r>
            <w:rPr>
              <w:rStyle w:val="17"/>
              <w:color w:val="auto"/>
              <w:highlight w:val="none"/>
            </w:rPr>
            <w:t>3.</w:t>
          </w:r>
          <w:r>
            <w:rPr>
              <w:rStyle w:val="17"/>
              <w:rFonts w:hint="eastAsia"/>
              <w:color w:val="auto"/>
              <w:highlight w:val="none"/>
            </w:rPr>
            <w:t>资金投入</w:t>
          </w:r>
          <w:r>
            <w:rPr>
              <w:color w:val="auto"/>
              <w:highlight w:val="none"/>
            </w:rPr>
            <w:tab/>
          </w:r>
          <w:r>
            <w:rPr>
              <w:color w:val="auto"/>
              <w:highlight w:val="none"/>
            </w:rPr>
            <w:fldChar w:fldCharType="begin"/>
          </w:r>
          <w:r>
            <w:rPr>
              <w:color w:val="auto"/>
              <w:highlight w:val="none"/>
            </w:rPr>
            <w:instrText xml:space="preserve"> PAGEREF _Toc196487556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4FD8D6A3">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"_Toc196487557" </w:instrText>
          </w:r>
          <w:r>
            <w:rPr>
              <w:color w:val="auto"/>
              <w:highlight w:val="none"/>
            </w:rPr>
            <w:fldChar w:fldCharType="separate"/>
          </w:r>
          <w:r>
            <w:rPr>
              <w:rStyle w:val="17"/>
              <w:rFonts w:hint="eastAsia" w:ascii="仿宋" w:hAnsi="仿宋" w:eastAsia="仿宋"/>
              <w:color w:val="auto"/>
              <w:highlight w:val="none"/>
              <w:lang w:bidi="en-US"/>
            </w:rPr>
            <w:t>（二）项目过程情况</w:t>
          </w:r>
          <w:r>
            <w:rPr>
              <w:color w:val="auto"/>
              <w:highlight w:val="none"/>
            </w:rPr>
            <w:tab/>
          </w:r>
          <w:r>
            <w:rPr>
              <w:color w:val="auto"/>
              <w:highlight w:val="none"/>
            </w:rPr>
            <w:fldChar w:fldCharType="begin"/>
          </w:r>
          <w:r>
            <w:rPr>
              <w:color w:val="auto"/>
              <w:highlight w:val="none"/>
            </w:rPr>
            <w:instrText xml:space="preserve"> PAGEREF _Toc196487557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375D1689">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"_Toc196487558" </w:instrText>
          </w:r>
          <w:r>
            <w:rPr>
              <w:color w:val="auto"/>
              <w:highlight w:val="none"/>
            </w:rPr>
            <w:fldChar w:fldCharType="separate"/>
          </w:r>
          <w:r>
            <w:rPr>
              <w:rStyle w:val="17"/>
              <w:color w:val="auto"/>
              <w:highlight w:val="none"/>
            </w:rPr>
            <w:t>1.</w:t>
          </w:r>
          <w:r>
            <w:rPr>
              <w:rStyle w:val="17"/>
              <w:rFonts w:hint="eastAsia"/>
              <w:color w:val="auto"/>
              <w:highlight w:val="none"/>
            </w:rPr>
            <w:t>资金管理</w:t>
          </w:r>
          <w:r>
            <w:rPr>
              <w:color w:val="auto"/>
              <w:highlight w:val="none"/>
            </w:rPr>
            <w:tab/>
          </w:r>
          <w:r>
            <w:rPr>
              <w:color w:val="auto"/>
              <w:highlight w:val="none"/>
            </w:rPr>
            <w:fldChar w:fldCharType="begin"/>
          </w:r>
          <w:r>
            <w:rPr>
              <w:color w:val="auto"/>
              <w:highlight w:val="none"/>
            </w:rPr>
            <w:instrText xml:space="preserve"> PAGEREF _Toc196487558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7B119ACD">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"_Toc196487559" </w:instrText>
          </w:r>
          <w:r>
            <w:rPr>
              <w:color w:val="auto"/>
              <w:highlight w:val="none"/>
            </w:rPr>
            <w:fldChar w:fldCharType="separate"/>
          </w:r>
          <w:r>
            <w:rPr>
              <w:rStyle w:val="17"/>
              <w:color w:val="auto"/>
              <w:highlight w:val="none"/>
            </w:rPr>
            <w:t>2.</w:t>
          </w:r>
          <w:r>
            <w:rPr>
              <w:rStyle w:val="17"/>
              <w:rFonts w:hint="eastAsia"/>
              <w:color w:val="auto"/>
              <w:highlight w:val="none"/>
            </w:rPr>
            <w:t>组织实施</w:t>
          </w:r>
          <w:r>
            <w:rPr>
              <w:color w:val="auto"/>
              <w:highlight w:val="none"/>
            </w:rPr>
            <w:tab/>
          </w:r>
          <w:r>
            <w:rPr>
              <w:color w:val="auto"/>
              <w:highlight w:val="none"/>
            </w:rPr>
            <w:fldChar w:fldCharType="begin"/>
          </w:r>
          <w:r>
            <w:rPr>
              <w:color w:val="auto"/>
              <w:highlight w:val="none"/>
            </w:rPr>
            <w:instrText xml:space="preserve"> PAGEREF _Toc196487559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611B7C9A">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"_Toc196487560" </w:instrText>
          </w:r>
          <w:r>
            <w:rPr>
              <w:color w:val="auto"/>
              <w:highlight w:val="none"/>
            </w:rPr>
            <w:fldChar w:fldCharType="separate"/>
          </w:r>
          <w:r>
            <w:rPr>
              <w:rStyle w:val="17"/>
              <w:rFonts w:hint="eastAsia" w:ascii="仿宋" w:hAnsi="仿宋" w:eastAsia="仿宋"/>
              <w:color w:val="auto"/>
              <w:highlight w:val="none"/>
              <w:lang w:bidi="en-US"/>
            </w:rPr>
            <w:t>（三）项目产出情况</w:t>
          </w:r>
          <w:r>
            <w:rPr>
              <w:color w:val="auto"/>
              <w:highlight w:val="none"/>
            </w:rPr>
            <w:tab/>
          </w:r>
          <w:r>
            <w:rPr>
              <w:color w:val="auto"/>
              <w:highlight w:val="none"/>
            </w:rPr>
            <w:fldChar w:fldCharType="begin"/>
          </w:r>
          <w:r>
            <w:rPr>
              <w:color w:val="auto"/>
              <w:highlight w:val="none"/>
            </w:rPr>
            <w:instrText xml:space="preserve"> PAGEREF _Toc196487560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6F7D16A1">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"_Toc196487561" </w:instrText>
          </w:r>
          <w:r>
            <w:rPr>
              <w:color w:val="auto"/>
              <w:highlight w:val="none"/>
            </w:rPr>
            <w:fldChar w:fldCharType="separate"/>
          </w:r>
          <w:r>
            <w:rPr>
              <w:rStyle w:val="17"/>
              <w:color w:val="auto"/>
              <w:highlight w:val="none"/>
            </w:rPr>
            <w:t>1.</w:t>
          </w:r>
          <w:r>
            <w:rPr>
              <w:rStyle w:val="17"/>
              <w:rFonts w:hint="eastAsia"/>
              <w:color w:val="auto"/>
              <w:highlight w:val="none"/>
            </w:rPr>
            <w:t>产出数量</w:t>
          </w:r>
          <w:r>
            <w:rPr>
              <w:color w:val="auto"/>
              <w:highlight w:val="none"/>
            </w:rPr>
            <w:tab/>
          </w:r>
          <w:r>
            <w:rPr>
              <w:color w:val="auto"/>
              <w:highlight w:val="none"/>
            </w:rPr>
            <w:fldChar w:fldCharType="begin"/>
          </w:r>
          <w:r>
            <w:rPr>
              <w:color w:val="auto"/>
              <w:highlight w:val="none"/>
            </w:rPr>
            <w:instrText xml:space="preserve"> PAGEREF _Toc196487561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5B8ACB29">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"_Toc196487562" </w:instrText>
          </w:r>
          <w:r>
            <w:rPr>
              <w:color w:val="auto"/>
              <w:highlight w:val="none"/>
            </w:rPr>
            <w:fldChar w:fldCharType="separate"/>
          </w:r>
          <w:r>
            <w:rPr>
              <w:rStyle w:val="17"/>
              <w:color w:val="auto"/>
              <w:highlight w:val="none"/>
            </w:rPr>
            <w:t>2.</w:t>
          </w:r>
          <w:r>
            <w:rPr>
              <w:rStyle w:val="17"/>
              <w:rFonts w:hint="eastAsia"/>
              <w:color w:val="auto"/>
              <w:highlight w:val="none"/>
            </w:rPr>
            <w:t>产出质量</w:t>
          </w:r>
          <w:r>
            <w:rPr>
              <w:color w:val="auto"/>
              <w:highlight w:val="none"/>
            </w:rPr>
            <w:tab/>
          </w:r>
          <w:r>
            <w:rPr>
              <w:color w:val="auto"/>
              <w:highlight w:val="none"/>
            </w:rPr>
            <w:fldChar w:fldCharType="begin"/>
          </w:r>
          <w:r>
            <w:rPr>
              <w:color w:val="auto"/>
              <w:highlight w:val="none"/>
            </w:rPr>
            <w:instrText xml:space="preserve"> PAGEREF _Toc196487562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14:paraId="2E2BB32A">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"_Toc196487563" </w:instrText>
          </w:r>
          <w:r>
            <w:rPr>
              <w:color w:val="auto"/>
              <w:highlight w:val="none"/>
            </w:rPr>
            <w:fldChar w:fldCharType="separate"/>
          </w:r>
          <w:r>
            <w:rPr>
              <w:rStyle w:val="17"/>
              <w:color w:val="auto"/>
              <w:highlight w:val="none"/>
            </w:rPr>
            <w:t>3.</w:t>
          </w:r>
          <w:r>
            <w:rPr>
              <w:rStyle w:val="17"/>
              <w:rFonts w:hint="eastAsia"/>
              <w:color w:val="auto"/>
              <w:highlight w:val="none"/>
            </w:rPr>
            <w:t>产出时效</w:t>
          </w:r>
          <w:r>
            <w:rPr>
              <w:color w:val="auto"/>
              <w:highlight w:val="none"/>
            </w:rPr>
            <w:tab/>
          </w:r>
          <w:r>
            <w:rPr>
              <w:color w:val="auto"/>
              <w:highlight w:val="none"/>
            </w:rPr>
            <w:fldChar w:fldCharType="begin"/>
          </w:r>
          <w:r>
            <w:rPr>
              <w:color w:val="auto"/>
              <w:highlight w:val="none"/>
            </w:rPr>
            <w:instrText xml:space="preserve"> PAGEREF _Toc196487563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14:paraId="38EF4024">
          <w:pPr>
            <w:pStyle w:val="5"/>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"_Toc196487564" </w:instrText>
          </w:r>
          <w:r>
            <w:rPr>
              <w:color w:val="auto"/>
              <w:highlight w:val="none"/>
            </w:rPr>
            <w:fldChar w:fldCharType="separate"/>
          </w:r>
          <w:r>
            <w:rPr>
              <w:rStyle w:val="17"/>
              <w:color w:val="auto"/>
              <w:highlight w:val="none"/>
            </w:rPr>
            <w:t>4.</w:t>
          </w:r>
          <w:r>
            <w:rPr>
              <w:rStyle w:val="17"/>
              <w:rFonts w:hint="eastAsia"/>
              <w:color w:val="auto"/>
              <w:highlight w:val="none"/>
            </w:rPr>
            <w:t>产出成本</w:t>
          </w:r>
          <w:r>
            <w:rPr>
              <w:color w:val="auto"/>
              <w:highlight w:val="none"/>
            </w:rPr>
            <w:tab/>
          </w:r>
          <w:r>
            <w:rPr>
              <w:color w:val="auto"/>
              <w:highlight w:val="none"/>
            </w:rPr>
            <w:fldChar w:fldCharType="begin"/>
          </w:r>
          <w:r>
            <w:rPr>
              <w:color w:val="auto"/>
              <w:highlight w:val="none"/>
            </w:rPr>
            <w:instrText xml:space="preserve"> PAGEREF _Toc196487564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14:paraId="0029B08C">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"_Toc196487565" </w:instrText>
          </w:r>
          <w:r>
            <w:rPr>
              <w:color w:val="auto"/>
              <w:highlight w:val="none"/>
            </w:rPr>
            <w:fldChar w:fldCharType="separate"/>
          </w:r>
          <w:r>
            <w:rPr>
              <w:rStyle w:val="17"/>
              <w:rFonts w:hint="eastAsia" w:ascii="仿宋" w:hAnsi="仿宋" w:eastAsia="仿宋"/>
              <w:color w:val="auto"/>
              <w:highlight w:val="none"/>
              <w:lang w:bidi="en-US"/>
            </w:rPr>
            <w:t>（四）项目效益</w:t>
          </w:r>
          <w:r>
            <w:rPr>
              <w:color w:val="auto"/>
              <w:highlight w:val="none"/>
            </w:rPr>
            <w:tab/>
          </w:r>
          <w:r>
            <w:rPr>
              <w:color w:val="auto"/>
              <w:highlight w:val="none"/>
            </w:rPr>
            <w:fldChar w:fldCharType="begin"/>
          </w:r>
          <w:r>
            <w:rPr>
              <w:color w:val="auto"/>
              <w:highlight w:val="none"/>
            </w:rPr>
            <w:instrText xml:space="preserve"> PAGEREF _Toc196487565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3BAB2E5A">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"_Toc196487566" </w:instrText>
          </w:r>
          <w:r>
            <w:rPr>
              <w:color w:val="auto"/>
              <w:highlight w:val="none"/>
            </w:rPr>
            <w:fldChar w:fldCharType="separate"/>
          </w:r>
          <w:r>
            <w:rPr>
              <w:rStyle w:val="17"/>
              <w:rFonts w:hint="eastAsia" w:ascii="仿宋" w:hAnsi="仿宋" w:eastAsia="仿宋"/>
              <w:color w:val="auto"/>
              <w:highlight w:val="none"/>
              <w:lang w:bidi="en-US"/>
            </w:rPr>
            <w:t>（五）满意度指标完成情况分析</w:t>
          </w:r>
          <w:r>
            <w:rPr>
              <w:color w:val="auto"/>
              <w:highlight w:val="none"/>
            </w:rPr>
            <w:tab/>
          </w:r>
          <w:r>
            <w:rPr>
              <w:color w:val="auto"/>
              <w:highlight w:val="none"/>
            </w:rPr>
            <w:fldChar w:fldCharType="begin"/>
          </w:r>
          <w:r>
            <w:rPr>
              <w:color w:val="auto"/>
              <w:highlight w:val="none"/>
            </w:rPr>
            <w:instrText xml:space="preserve"> PAGEREF _Toc196487566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11D81F6F">
          <w:pPr>
            <w:pStyle w:val="10"/>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"_Toc196487567" </w:instrText>
          </w:r>
          <w:r>
            <w:rPr>
              <w:color w:val="auto"/>
              <w:highlight w:val="none"/>
            </w:rPr>
            <w:fldChar w:fldCharType="separate"/>
          </w:r>
          <w:r>
            <w:rPr>
              <w:rStyle w:val="17"/>
              <w:rFonts w:hint="eastAsia" w:ascii="仿宋" w:hAnsi="仿宋" w:eastAsia="仿宋"/>
              <w:color w:val="auto"/>
              <w:highlight w:val="none"/>
              <w:lang w:bidi="en-US"/>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_Toc196487567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48209DA0">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"_Toc196487568" </w:instrText>
          </w:r>
          <w:r>
            <w:rPr>
              <w:color w:val="auto"/>
              <w:highlight w:val="none"/>
            </w:rPr>
            <w:fldChar w:fldCharType="separate"/>
          </w:r>
          <w:r>
            <w:rPr>
              <w:rStyle w:val="17"/>
              <w:rFonts w:hint="eastAsia" w:ascii="仿宋" w:hAnsi="仿宋" w:eastAsia="仿宋"/>
              <w:color w:val="auto"/>
              <w:highlight w:val="none"/>
              <w:lang w:bidi="en-US"/>
            </w:rPr>
            <w:t>（一）主要经验及做法</w:t>
          </w:r>
          <w:r>
            <w:rPr>
              <w:color w:val="auto"/>
              <w:highlight w:val="none"/>
            </w:rPr>
            <w:tab/>
          </w:r>
          <w:r>
            <w:rPr>
              <w:color w:val="auto"/>
              <w:highlight w:val="none"/>
            </w:rPr>
            <w:fldChar w:fldCharType="begin"/>
          </w:r>
          <w:r>
            <w:rPr>
              <w:color w:val="auto"/>
              <w:highlight w:val="none"/>
            </w:rPr>
            <w:instrText xml:space="preserve"> PAGEREF _Toc196487568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4DF8E6DF">
          <w:pPr>
            <w:pStyle w:val="12"/>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"_Toc196487569" </w:instrText>
          </w:r>
          <w:r>
            <w:rPr>
              <w:color w:val="auto"/>
              <w:highlight w:val="none"/>
            </w:rPr>
            <w:fldChar w:fldCharType="separate"/>
          </w:r>
          <w:r>
            <w:rPr>
              <w:rStyle w:val="17"/>
              <w:rFonts w:hint="eastAsia" w:ascii="仿宋" w:hAnsi="仿宋" w:eastAsia="仿宋"/>
              <w:color w:val="auto"/>
              <w:highlight w:val="none"/>
              <w:lang w:bidi="en-US"/>
            </w:rPr>
            <w:t>（二）存在的问题及原因分析</w:t>
          </w:r>
          <w:r>
            <w:rPr>
              <w:color w:val="auto"/>
              <w:highlight w:val="none"/>
            </w:rPr>
            <w:tab/>
          </w:r>
          <w:r>
            <w:rPr>
              <w:color w:val="auto"/>
              <w:highlight w:val="none"/>
            </w:rPr>
            <w:fldChar w:fldCharType="begin"/>
          </w:r>
          <w:r>
            <w:rPr>
              <w:color w:val="auto"/>
              <w:highlight w:val="none"/>
            </w:rPr>
            <w:instrText xml:space="preserve"> PAGEREF _Toc196487569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14:paraId="0B716ED4">
          <w:pPr>
            <w:pStyle w:val="10"/>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"_Toc196487570" </w:instrText>
          </w:r>
          <w:r>
            <w:rPr>
              <w:color w:val="auto"/>
              <w:highlight w:val="none"/>
            </w:rPr>
            <w:fldChar w:fldCharType="separate"/>
          </w:r>
          <w:r>
            <w:rPr>
              <w:rStyle w:val="17"/>
              <w:rFonts w:hint="eastAsia" w:ascii="仿宋" w:hAnsi="仿宋" w:eastAsia="仿宋"/>
              <w:color w:val="auto"/>
              <w:highlight w:val="none"/>
              <w:lang w:bidi="en-US"/>
            </w:rPr>
            <w:t>六、有关建议</w:t>
          </w:r>
          <w:r>
            <w:rPr>
              <w:color w:val="auto"/>
              <w:highlight w:val="none"/>
            </w:rPr>
            <w:tab/>
          </w:r>
          <w:r>
            <w:rPr>
              <w:color w:val="auto"/>
              <w:highlight w:val="none"/>
            </w:rPr>
            <w:fldChar w:fldCharType="begin"/>
          </w:r>
          <w:r>
            <w:rPr>
              <w:color w:val="auto"/>
              <w:highlight w:val="none"/>
            </w:rPr>
            <w:instrText xml:space="preserve"> PAGEREF _Toc196487570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14:paraId="1BBFE8D1">
          <w:pPr>
            <w:pStyle w:val="10"/>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"_Toc196487571" </w:instrText>
          </w:r>
          <w:r>
            <w:rPr>
              <w:color w:val="auto"/>
              <w:highlight w:val="none"/>
            </w:rPr>
            <w:fldChar w:fldCharType="separate"/>
          </w:r>
          <w:r>
            <w:rPr>
              <w:rStyle w:val="17"/>
              <w:rFonts w:hint="eastAsia" w:ascii="仿宋" w:hAnsi="仿宋" w:eastAsia="仿宋"/>
              <w:color w:val="auto"/>
              <w:highlight w:val="none"/>
              <w:lang w:bidi="en-US"/>
            </w:rPr>
            <w:t>七、其他需要说明的问题</w:t>
          </w:r>
          <w:r>
            <w:rPr>
              <w:color w:val="auto"/>
              <w:highlight w:val="none"/>
            </w:rPr>
            <w:tab/>
          </w:r>
          <w:r>
            <w:rPr>
              <w:color w:val="auto"/>
              <w:highlight w:val="none"/>
            </w:rPr>
            <w:fldChar w:fldCharType="begin"/>
          </w:r>
          <w:r>
            <w:rPr>
              <w:color w:val="auto"/>
              <w:highlight w:val="none"/>
            </w:rPr>
            <w:instrText xml:space="preserve"> PAGEREF _Toc196487571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1A2C7789">
          <w:pPr>
            <w:ind w:firstLine="562"/>
            <w:rPr>
              <w:color w:val="auto"/>
              <w:highlight w:val="none"/>
            </w:rPr>
          </w:pPr>
          <w:r>
            <w:rPr>
              <w:b/>
              <w:bCs/>
              <w:color w:val="auto"/>
              <w:highlight w:val="none"/>
              <w:lang w:val="zh-CN"/>
            </w:rPr>
            <w:fldChar w:fldCharType="end"/>
          </w:r>
        </w:p>
      </w:sdtContent>
    </w:sdt>
    <w:p w14:paraId="72094A75">
      <w:pPr>
        <w:ind w:firstLine="598" w:firstLineChars="187"/>
        <w:rPr>
          <w:rFonts w:ascii="仿宋_GB2312" w:hAnsi="Times New Roman" w:cs="Times New Roman"/>
          <w:color w:val="auto"/>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30D55055">
      <w:pPr>
        <w:pStyle w:val="2"/>
        <w:ind w:firstLine="0" w:firstLineChars="0"/>
        <w:jc w:val="left"/>
        <w:rPr>
          <w:rFonts w:hint="eastAsia" w:ascii="仿宋_GB2312" w:hAnsi="Calibri" w:eastAsia="仿宋_GB2312" w:cs="黑体"/>
          <w:b w:val="0"/>
          <w:bCs w:val="0"/>
          <w:color w:val="auto"/>
          <w:kern w:val="2"/>
          <w:sz w:val="28"/>
          <w:szCs w:val="22"/>
          <w:highlight w:val="none"/>
          <w:lang w:val="en-US" w:eastAsia="zh-CN" w:bidi="ar-SA"/>
        </w:rPr>
      </w:pPr>
      <w:bookmarkStart w:id="0" w:name="_Toc67911601"/>
      <w:bookmarkStart w:id="1" w:name="_Toc196487532"/>
      <w:r>
        <w:rPr>
          <w:rFonts w:hint="eastAsia" w:ascii="仿宋_GB2312" w:hAnsi="Calibri" w:eastAsia="仿宋_GB2312" w:cs="黑体"/>
          <w:b w:val="0"/>
          <w:bCs w:val="0"/>
          <w:color w:val="auto"/>
          <w:kern w:val="2"/>
          <w:sz w:val="28"/>
          <w:szCs w:val="22"/>
          <w:highlight w:val="none"/>
          <w:lang w:val="en-US" w:eastAsia="zh-CN" w:bidi="ar-SA"/>
        </w:rPr>
        <w:t>一、基本情况</w:t>
      </w:r>
      <w:bookmarkEnd w:id="0"/>
      <w:bookmarkEnd w:id="1"/>
    </w:p>
    <w:p w14:paraId="770D4AF4">
      <w:pPr>
        <w:pStyle w:val="3"/>
        <w:ind w:firstLine="643"/>
        <w:rPr>
          <w:rFonts w:hint="eastAsia" w:ascii="仿宋_GB2312" w:hAnsi="Calibri" w:eastAsia="仿宋_GB2312" w:cs="黑体"/>
          <w:b w:val="0"/>
          <w:bCs w:val="0"/>
          <w:color w:val="auto"/>
          <w:kern w:val="2"/>
          <w:sz w:val="28"/>
          <w:szCs w:val="22"/>
          <w:highlight w:val="none"/>
          <w:lang w:val="en-US" w:eastAsia="zh-CN" w:bidi="ar-SA"/>
        </w:rPr>
      </w:pPr>
      <w:bookmarkStart w:id="2" w:name="_Toc67911602"/>
      <w:bookmarkStart w:id="3" w:name="_Toc196487533"/>
      <w:r>
        <w:rPr>
          <w:rFonts w:hint="eastAsia" w:ascii="仿宋_GB2312" w:hAnsi="Calibri" w:eastAsia="仿宋_GB2312" w:cs="黑体"/>
          <w:b w:val="0"/>
          <w:bCs w:val="0"/>
          <w:color w:val="auto"/>
          <w:kern w:val="2"/>
          <w:sz w:val="28"/>
          <w:szCs w:val="22"/>
          <w:highlight w:val="none"/>
          <w:lang w:val="en-US" w:eastAsia="zh-CN" w:bidi="ar-SA"/>
        </w:rPr>
        <w:t>（一）项目概况：</w:t>
      </w:r>
      <w:bookmarkEnd w:id="2"/>
      <w:bookmarkEnd w:id="3"/>
    </w:p>
    <w:p w14:paraId="348F1E29">
      <w:pPr>
        <w:pStyle w:val="4"/>
        <w:ind w:firstLine="643"/>
        <w:rPr>
          <w:rFonts w:hint="eastAsia" w:ascii="仿宋_GB2312" w:hAnsi="Calibri" w:eastAsia="仿宋_GB2312" w:cs="黑体"/>
          <w:b w:val="0"/>
          <w:bCs w:val="0"/>
          <w:color w:val="auto"/>
          <w:kern w:val="2"/>
          <w:sz w:val="28"/>
          <w:szCs w:val="22"/>
          <w:highlight w:val="none"/>
          <w:lang w:val="en-US" w:eastAsia="zh-CN" w:bidi="ar-SA"/>
        </w:rPr>
      </w:pPr>
      <w:bookmarkStart w:id="4" w:name="_Toc196487534"/>
      <w:r>
        <w:rPr>
          <w:rFonts w:hint="eastAsia" w:ascii="仿宋_GB2312" w:hAnsi="Calibri" w:eastAsia="仿宋_GB2312" w:cs="黑体"/>
          <w:b w:val="0"/>
          <w:bCs w:val="0"/>
          <w:color w:val="auto"/>
          <w:kern w:val="2"/>
          <w:sz w:val="28"/>
          <w:szCs w:val="22"/>
          <w:highlight w:val="none"/>
          <w:lang w:val="en-US" w:eastAsia="zh-CN" w:bidi="ar-SA"/>
        </w:rPr>
        <w:t>1．项目背景、主要内容及实施情况</w:t>
      </w:r>
      <w:bookmarkEnd w:id="4"/>
    </w:p>
    <w:p w14:paraId="049A18E7">
      <w:pPr>
        <w:spacing w:line="360" w:lineRule="auto"/>
        <w:ind w:firstLine="560"/>
        <w:rPr>
          <w:rFonts w:hint="eastAsia" w:ascii="仿宋_GB2312"/>
          <w:color w:val="auto"/>
          <w:highlight w:val="none"/>
        </w:rPr>
      </w:pPr>
      <w:r>
        <w:rPr>
          <w:rFonts w:hint="eastAsia" w:ascii="仿宋_GB2312" w:hAnsi="Calibri" w:eastAsia="仿宋_GB2312" w:cs="黑体"/>
          <w:b w:val="0"/>
          <w:bCs w:val="0"/>
          <w:color w:val="auto"/>
          <w:kern w:val="2"/>
          <w:sz w:val="28"/>
          <w:szCs w:val="22"/>
          <w:highlight w:val="none"/>
          <w:lang w:val="en-US" w:eastAsia="zh-CN" w:bidi="ar-SA"/>
        </w:rPr>
        <w:t>该项目实施背景：根据市委组织部、市财政局关于《乌鲁木齐市社区工作经费管理使用办法（暂行）》（</w:t>
      </w:r>
      <w:r>
        <w:rPr>
          <w:rFonts w:hint="eastAsia" w:ascii="仿宋_GB2312"/>
          <w:color w:val="auto"/>
          <w:highlight w:val="none"/>
          <w:lang w:eastAsia="zh-CN"/>
        </w:rPr>
        <w:t>乌党组办字〔201</w:t>
      </w:r>
      <w:r>
        <w:rPr>
          <w:rFonts w:hint="eastAsia" w:ascii="仿宋_GB2312"/>
          <w:color w:val="auto"/>
          <w:highlight w:val="none"/>
          <w:lang w:val="en-US" w:eastAsia="zh-CN"/>
        </w:rPr>
        <w:t>2</w:t>
      </w:r>
      <w:r>
        <w:rPr>
          <w:rFonts w:hint="eastAsia" w:ascii="仿宋_GB2312"/>
          <w:color w:val="auto"/>
          <w:highlight w:val="none"/>
          <w:lang w:eastAsia="zh-CN"/>
        </w:rPr>
        <w:t>〕31号）、《乌鲁木齐市社区工作经费管理使用办法（暂行）》的补充通知（乌党组办字〔201</w:t>
      </w:r>
      <w:r>
        <w:rPr>
          <w:rFonts w:hint="eastAsia" w:ascii="仿宋_GB2312"/>
          <w:color w:val="auto"/>
          <w:highlight w:val="none"/>
          <w:lang w:val="en-US" w:eastAsia="zh-CN"/>
        </w:rPr>
        <w:t>5</w:t>
      </w:r>
      <w:r>
        <w:rPr>
          <w:rFonts w:hint="eastAsia" w:ascii="仿宋_GB2312"/>
          <w:color w:val="auto"/>
          <w:highlight w:val="none"/>
          <w:lang w:eastAsia="zh-CN"/>
        </w:rPr>
        <w:t>〕6号）规定，社区经费是年初预算批复，区级资金，主要用于</w:t>
      </w:r>
      <w:r>
        <w:rPr>
          <w:rFonts w:hint="eastAsia" w:ascii="宋体" w:hAnsi="宋体"/>
          <w:color w:val="auto"/>
          <w:szCs w:val="28"/>
          <w:highlight w:val="none"/>
        </w:rPr>
        <w:t>社区“两委”班子日常工作的开支，包括办公用品、设备维修、水电暖气、车辆燃料和维护、办公用房修缮等费用；开展</w:t>
      </w:r>
      <w:r>
        <w:rPr>
          <w:rFonts w:hint="eastAsia" w:ascii="宋体" w:hAnsi="宋体"/>
          <w:color w:val="auto"/>
          <w:szCs w:val="28"/>
          <w:highlight w:val="none"/>
          <w:lang w:val="en-US" w:eastAsia="zh-CN"/>
        </w:rPr>
        <w:t>群众活动、</w:t>
      </w:r>
      <w:r>
        <w:rPr>
          <w:rFonts w:hint="eastAsia" w:ascii="宋体" w:hAnsi="宋体"/>
          <w:color w:val="auto"/>
          <w:szCs w:val="28"/>
          <w:highlight w:val="none"/>
        </w:rPr>
        <w:t>服务居民、环境整治工作各项费用；社区工作人员学习培训、外出考察费用；其他与社区工作有关的支出</w:t>
      </w:r>
      <w:r>
        <w:rPr>
          <w:rFonts w:hint="eastAsia" w:ascii="仿宋_GB2312"/>
          <w:color w:val="auto"/>
          <w:highlight w:val="none"/>
        </w:rPr>
        <w:t>。</w:t>
      </w:r>
      <w:r>
        <w:rPr>
          <w:rFonts w:hint="eastAsia" w:ascii="仿宋_GB2312"/>
          <w:color w:val="auto"/>
          <w:highlight w:val="none"/>
          <w:lang w:val="en-US" w:eastAsia="zh-CN"/>
        </w:rPr>
        <w:t>2024年社区经费涉及</w:t>
      </w:r>
      <w:r>
        <w:rPr>
          <w:rFonts w:hint="eastAsia" w:ascii="仿宋_GB2312"/>
          <w:color w:val="auto"/>
          <w:highlight w:val="none"/>
          <w:lang w:eastAsia="zh-CN"/>
        </w:rPr>
        <w:t>我街道</w:t>
      </w:r>
      <w:r>
        <w:rPr>
          <w:rFonts w:hint="eastAsia" w:ascii="仿宋_GB2312"/>
          <w:color w:val="auto"/>
          <w:highlight w:val="none"/>
          <w:lang w:val="en-US" w:eastAsia="zh-CN"/>
        </w:rPr>
        <w:t>9个一般社区和3个市级重点社区，9个一般社区分别为温泉社区、景泉社区、秀泉社区、</w:t>
      </w:r>
      <w:bookmarkStart w:id="63" w:name="_GoBack"/>
      <w:bookmarkEnd w:id="63"/>
      <w:r>
        <w:rPr>
          <w:rFonts w:hint="eastAsia" w:ascii="仿宋_GB2312"/>
          <w:color w:val="auto"/>
          <w:highlight w:val="none"/>
          <w:lang w:val="en-US" w:eastAsia="zh-CN"/>
        </w:rPr>
        <w:t>水磨社区、沿河北社区、风景社区、温泉北社区、田园社区、北山社区，3个市级重点社区为康居社区、众泰社区、沿河路社区。项目资金主要用于</w:t>
      </w:r>
      <w:r>
        <w:rPr>
          <w:rFonts w:hint="eastAsia" w:ascii="仿宋_GB2312"/>
          <w:color w:val="auto"/>
          <w:highlight w:val="none"/>
          <w:lang w:eastAsia="zh-CN"/>
        </w:rPr>
        <w:t>社区日常运转、购买办公耗材、开展群众活动及化解历年欠款等支出，确保专项经费的管理和使用，最大限度地体现群众意愿和需求。通过严格把控项目资金使用，及时上报资金的使用情况，保障项目资金按计划执行，从而更好地服务群众，促进社会建设和文化、教育、卫生公益事业发展，提高基层党组织的服务质量，维护社会面大局。</w:t>
      </w:r>
    </w:p>
    <w:p w14:paraId="22371CD0">
      <w:pPr>
        <w:spacing w:line="560" w:lineRule="exact"/>
        <w:ind w:firstLine="560" w:firstLineChars="200"/>
        <w:rPr>
          <w:rFonts w:hint="eastAsia" w:ascii="仿宋_GB2312"/>
          <w:color w:val="auto"/>
          <w:highlight w:val="none"/>
          <w:lang w:val="en-US" w:eastAsia="zh-CN"/>
        </w:rPr>
      </w:pPr>
      <w:r>
        <w:rPr>
          <w:rFonts w:ascii="仿宋_GB2312"/>
          <w:color w:val="auto"/>
          <w:highlight w:val="none"/>
        </w:rPr>
        <w:t>项目</w:t>
      </w:r>
      <w:r>
        <w:rPr>
          <w:rFonts w:hint="eastAsia" w:ascii="仿宋_GB2312"/>
          <w:color w:val="auto"/>
          <w:highlight w:val="none"/>
        </w:rPr>
        <w:t>2024</w:t>
      </w:r>
      <w:r>
        <w:rPr>
          <w:rFonts w:ascii="仿宋_GB2312"/>
          <w:color w:val="auto"/>
          <w:highlight w:val="none"/>
        </w:rPr>
        <w:t>年的主要实施内容：</w:t>
      </w:r>
      <w:r>
        <w:rPr>
          <w:rFonts w:hint="eastAsia" w:ascii="仿宋_GB2312"/>
          <w:color w:val="auto"/>
          <w:highlight w:val="none"/>
          <w:lang w:val="en-US" w:eastAsia="zh-CN"/>
        </w:rPr>
        <w:t>项目主要包含四大类支出，分别是社区日常运转、购买办公耗材、举办群众活动、化解历年欠款，具体内容分别是：</w:t>
      </w:r>
    </w:p>
    <w:p w14:paraId="161DF900">
      <w:pPr>
        <w:spacing w:line="560" w:lineRule="exact"/>
        <w:ind w:firstLine="560" w:firstLineChars="200"/>
        <w:rPr>
          <w:rFonts w:hint="eastAsia" w:ascii="仿宋_GB2312"/>
          <w:color w:val="auto"/>
          <w:highlight w:val="none"/>
          <w:lang w:val="en-US" w:eastAsia="zh-CN"/>
        </w:rPr>
      </w:pPr>
      <w:r>
        <w:rPr>
          <w:rFonts w:ascii="仿宋_GB2312"/>
          <w:color w:val="auto"/>
          <w:highlight w:val="none"/>
        </w:rPr>
        <w:t>①</w:t>
      </w:r>
      <w:r>
        <w:rPr>
          <w:rFonts w:hint="eastAsia" w:ascii="仿宋_GB2312"/>
          <w:color w:val="auto"/>
          <w:highlight w:val="none"/>
          <w:lang w:val="en-US" w:eastAsia="zh-CN"/>
        </w:rPr>
        <w:t>社区日常运转方面，涵盖水电费、物业费、网络通讯费等，保障社区办公场所正常使用；同时包括办公场地租赁费、日常设备维护（如空调、电脑、打印机等基础设备检修）费用，维持社区基础运转环境。</w:t>
      </w:r>
    </w:p>
    <w:p w14:paraId="3BA9143B">
      <w:pPr>
        <w:spacing w:line="560" w:lineRule="exact"/>
        <w:ind w:firstLine="560" w:firstLineChars="200"/>
        <w:rPr>
          <w:rFonts w:hint="eastAsia" w:ascii="仿宋_GB2312"/>
          <w:color w:val="auto"/>
          <w:highlight w:val="none"/>
          <w:lang w:val="en-US" w:eastAsia="zh-CN"/>
        </w:rPr>
      </w:pPr>
      <w:r>
        <w:rPr>
          <w:rFonts w:ascii="仿宋_GB2312"/>
          <w:color w:val="auto"/>
          <w:highlight w:val="none"/>
        </w:rPr>
        <w:t>②</w:t>
      </w:r>
      <w:r>
        <w:rPr>
          <w:rFonts w:hint="eastAsia" w:ascii="仿宋_GB2312"/>
          <w:color w:val="auto"/>
          <w:highlight w:val="none"/>
          <w:lang w:val="en-US" w:eastAsia="zh-CN"/>
        </w:rPr>
        <w:t>购买办公耗材方面，一是采购日常办公所需的打印纸、复印纸、便签纸、档案袋、文件夹等，用于文件打印、资料整理、档案管理等工作；二是购置笔、笔记本、胶水、剪刀、订书机等常用文具，满足日常办公记录、文件装订等需求，按需采购计算器、直尺等特殊工具；三是打印耗材，储备硒鼓、墨盒、碳粉、色带等打印设备耗材，确保文件、通知、报表等资料及时打印输出；四是其他物资，如补充档案盒、标签贴纸、印泥等办公用品，用于规范档案管理与文件分类存档。</w:t>
      </w:r>
    </w:p>
    <w:p w14:paraId="0EEECE91">
      <w:pPr>
        <w:spacing w:line="560" w:lineRule="exact"/>
        <w:ind w:firstLine="560" w:firstLineChars="200"/>
        <w:rPr>
          <w:rFonts w:hint="eastAsia" w:ascii="仿宋_GB2312"/>
          <w:color w:val="auto"/>
          <w:highlight w:val="none"/>
          <w:lang w:val="en-US" w:eastAsia="zh-CN"/>
        </w:rPr>
      </w:pPr>
      <w:r>
        <w:rPr>
          <w:rFonts w:hint="default" w:ascii="Calibri" w:hAnsi="Calibri" w:cs="Calibri"/>
          <w:color w:val="auto"/>
          <w:highlight w:val="none"/>
          <w:lang w:val="en-US" w:eastAsia="zh-CN"/>
        </w:rPr>
        <w:t>③</w:t>
      </w:r>
      <w:r>
        <w:rPr>
          <w:rFonts w:hint="eastAsia" w:ascii="仿宋_GB2312"/>
          <w:color w:val="auto"/>
          <w:highlight w:val="none"/>
          <w:lang w:val="en-US" w:eastAsia="zh-CN"/>
        </w:rPr>
        <w:t>开展群众活动方面，一是组织开展各类文体活动，如社区运动会、文艺汇演、书画展览、读书分享会等活动，用于场地租赁、舞台搭建、音响设备租赁、节目道具及奖品购置等支出；二是开展主题活动，组织传统节日庆祝活动（如春节联欢、中秋赏月）、公益讲座（法律知识、健康养生、科普宣传）、志愿服务活动（环保行动、关爱特殊群体），涵盖活动宣传物料制作、讲师劳务、活动物资（如环保工具、慰问品）采购等费用；三是培训活动，开设社区技能培训班（如烹饪、手工、计算机操作）、文化兴趣班（书法、绘画、舞蹈），包含教师授课费用、教学场地布置、教材教具购置等支出。</w:t>
      </w:r>
    </w:p>
    <w:p w14:paraId="2E2E526C">
      <w:pPr>
        <w:spacing w:line="560" w:lineRule="exact"/>
        <w:ind w:firstLine="560" w:firstLineChars="200"/>
        <w:rPr>
          <w:rFonts w:ascii="仿宋_GB2312"/>
          <w:color w:val="auto"/>
          <w:highlight w:val="none"/>
        </w:rPr>
      </w:pPr>
      <w:r>
        <w:rPr>
          <w:rFonts w:hint="eastAsia" w:ascii="微软雅黑" w:hAnsi="微软雅黑" w:eastAsia="微软雅黑" w:cs="微软雅黑"/>
          <w:color w:val="auto"/>
          <w:highlight w:val="none"/>
          <w:lang w:val="en-US" w:eastAsia="zh-CN"/>
        </w:rPr>
        <w:t>④</w:t>
      </w:r>
      <w:r>
        <w:rPr>
          <w:rFonts w:hint="eastAsia" w:ascii="仿宋_GB2312"/>
          <w:color w:val="auto"/>
          <w:highlight w:val="none"/>
          <w:lang w:val="en-US" w:eastAsia="zh-CN"/>
        </w:rPr>
        <w:t>化解欠款方面，是用于偿还社区前期因基础设施建设、公共服务项目产生的工程款项、材料采购欠款、食堂伙食欠款等，依据债务合同约定的还款计划，分期分批完成清偿。</w:t>
      </w:r>
    </w:p>
    <w:p w14:paraId="2F0BDC0A">
      <w:pPr>
        <w:spacing w:line="560" w:lineRule="exact"/>
        <w:ind w:firstLine="560" w:firstLineChars="200"/>
        <w:rPr>
          <w:rFonts w:hint="eastAsia" w:ascii="仿宋_GB2312"/>
          <w:color w:val="auto"/>
          <w:highlight w:val="none"/>
          <w:lang w:val="en-US" w:eastAsia="zh-CN"/>
        </w:rPr>
      </w:pPr>
      <w:r>
        <w:rPr>
          <w:rFonts w:ascii="仿宋_GB2312"/>
          <w:color w:val="auto"/>
          <w:highlight w:val="none"/>
        </w:rPr>
        <w:t>实际完成情况为：</w:t>
      </w:r>
      <w:r>
        <w:rPr>
          <w:rFonts w:hint="eastAsia" w:ascii="仿宋_GB2312"/>
          <w:color w:val="auto"/>
          <w:highlight w:val="none"/>
          <w:lang w:val="en-US" w:eastAsia="zh-CN"/>
        </w:rPr>
        <w:t>项目目前已经完成实际设立的目标，在实施过程中严格按照目标设立的各阶段任务进行开展工作，在前期立项过程中严格把质量关，建立安全防护机制，保证项目实施各阶段安全顺利进行。具体实施情况如下：</w:t>
      </w:r>
    </w:p>
    <w:p w14:paraId="021374BF">
      <w:pPr>
        <w:spacing w:line="560" w:lineRule="exact"/>
        <w:ind w:firstLine="560" w:firstLineChars="200"/>
        <w:rPr>
          <w:rFonts w:hint="default" w:ascii="仿宋_GB2312"/>
          <w:color w:val="auto"/>
          <w:highlight w:val="none"/>
          <w:lang w:val="en-US" w:eastAsia="zh-CN"/>
        </w:rPr>
      </w:pPr>
      <w:r>
        <w:rPr>
          <w:rFonts w:ascii="仿宋_GB2312"/>
          <w:color w:val="auto"/>
          <w:highlight w:val="none"/>
        </w:rPr>
        <w:t>①</w:t>
      </w:r>
      <w:r>
        <w:rPr>
          <w:rFonts w:hint="eastAsia" w:ascii="仿宋_GB2312"/>
          <w:color w:val="auto"/>
          <w:highlight w:val="none"/>
          <w:lang w:val="en-US" w:eastAsia="zh-CN"/>
        </w:rPr>
        <w:t>社区日常运转方面，我街道12个社区全年正常运转，及时支付了社区水电费、物业费、网络通讯费等，保障社区办公场所的水、电、网络等基础设施正常运行，保障了社区各项工作顺利推进，社区服务窗口按时开放，工作人员及时响应居民需求，让居民在家门口就能便捷地办理各类事务，提升居民对社区服务的满意度。</w:t>
      </w:r>
    </w:p>
    <w:p w14:paraId="01A2664F">
      <w:pPr>
        <w:spacing w:line="560" w:lineRule="exact"/>
        <w:ind w:firstLine="560" w:firstLineChars="200"/>
        <w:rPr>
          <w:rFonts w:hint="default" w:ascii="仿宋_GB2312"/>
          <w:color w:val="auto"/>
          <w:highlight w:val="none"/>
          <w:lang w:val="en-US" w:eastAsia="zh-CN"/>
        </w:rPr>
      </w:pPr>
      <w:r>
        <w:rPr>
          <w:rFonts w:ascii="仿宋_GB2312"/>
          <w:color w:val="auto"/>
          <w:highlight w:val="none"/>
        </w:rPr>
        <w:t>②</w:t>
      </w:r>
      <w:r>
        <w:rPr>
          <w:rFonts w:hint="eastAsia" w:ascii="仿宋_GB2312"/>
          <w:color w:val="auto"/>
          <w:highlight w:val="none"/>
          <w:lang w:val="en-US" w:eastAsia="zh-CN"/>
        </w:rPr>
        <w:t>购买办公耗材方面，全年采购办公耗材30次。本着“过紧日子”精神，倡导节约办公，各社区根据实际办公需求，采购并使用各类耗材，保障基础办公顺利进行。</w:t>
      </w:r>
    </w:p>
    <w:p w14:paraId="68000055">
      <w:pPr>
        <w:spacing w:line="560" w:lineRule="exact"/>
        <w:ind w:firstLine="560" w:firstLineChars="200"/>
        <w:rPr>
          <w:rFonts w:hint="default" w:ascii="仿宋_GB2312"/>
          <w:color w:val="auto"/>
          <w:highlight w:val="none"/>
          <w:lang w:val="en-US" w:eastAsia="zh-CN"/>
        </w:rPr>
      </w:pPr>
      <w:r>
        <w:rPr>
          <w:rFonts w:hint="default" w:ascii="Calibri" w:hAnsi="Calibri" w:cs="Calibri"/>
          <w:color w:val="auto"/>
          <w:highlight w:val="none"/>
          <w:lang w:val="en-US" w:eastAsia="zh-CN"/>
        </w:rPr>
        <w:t>③</w:t>
      </w:r>
      <w:r>
        <w:rPr>
          <w:rFonts w:hint="eastAsia" w:ascii="仿宋_GB2312"/>
          <w:color w:val="auto"/>
          <w:highlight w:val="none"/>
          <w:lang w:val="en-US" w:eastAsia="zh-CN"/>
        </w:rPr>
        <w:t>开展群众活动方面，全年组织开展各类活动达30次，为居民提供多样化的娱乐休闲方式，满足居民在文化、体育、艺术等方面的精神追求，借助各类主题活动，向居民普及科学知识、法律常识、健康养生等内容，提升了居民的文化素养和生活技能。通过持续开展具有特色的群众活动，增强了邻里间的感情，营造了和谐友善的社区氛围，在传承和弘扬优秀文化的同时，也增强了社区的凝聚力和影响力。</w:t>
      </w:r>
    </w:p>
    <w:p w14:paraId="5F89374A">
      <w:pPr>
        <w:spacing w:line="560" w:lineRule="exact"/>
        <w:ind w:firstLine="560" w:firstLineChars="200"/>
        <w:rPr>
          <w:rFonts w:hint="eastAsia" w:ascii="仿宋_GB2312"/>
          <w:color w:val="auto"/>
          <w:highlight w:val="none"/>
          <w:lang w:val="en-US" w:eastAsia="zh-CN"/>
        </w:rPr>
      </w:pPr>
      <w:r>
        <w:rPr>
          <w:rFonts w:hint="eastAsia" w:ascii="微软雅黑" w:hAnsi="微软雅黑" w:eastAsia="微软雅黑" w:cs="微软雅黑"/>
          <w:color w:val="auto"/>
          <w:highlight w:val="none"/>
          <w:lang w:val="en-US" w:eastAsia="zh-CN"/>
        </w:rPr>
        <w:t>④</w:t>
      </w:r>
      <w:r>
        <w:rPr>
          <w:rFonts w:hint="eastAsia" w:ascii="仿宋_GB2312"/>
          <w:color w:val="auto"/>
          <w:highlight w:val="none"/>
          <w:lang w:val="en-US" w:eastAsia="zh-CN"/>
        </w:rPr>
        <w:t>化解欠款方面，加大清偿欠款力度，完成4类欠款合计305万元。通过及时偿还欠款，消除因债务逾期产生的不良影响，恢复社区在供应商、合作单位及居民中的信用，为未来社区开展基础设施建设、公共服务合作等项目奠定良好的信誉基础，保障社区可持续发展。</w:t>
      </w:r>
    </w:p>
    <w:p w14:paraId="0DF2C12E">
      <w:pPr>
        <w:pStyle w:val="4"/>
        <w:ind w:firstLine="643"/>
        <w:rPr>
          <w:color w:val="auto"/>
          <w:highlight w:val="none"/>
        </w:rPr>
      </w:pPr>
      <w:bookmarkStart w:id="5" w:name="_Toc196487535"/>
      <w:r>
        <w:rPr>
          <w:rFonts w:hint="eastAsia"/>
          <w:color w:val="auto"/>
          <w:highlight w:val="none"/>
        </w:rPr>
        <w:t>2</w:t>
      </w:r>
      <w:r>
        <w:rPr>
          <w:color w:val="auto"/>
          <w:highlight w:val="none"/>
        </w:rPr>
        <w:t>.资金投入和使用情况</w:t>
      </w:r>
      <w:bookmarkEnd w:id="5"/>
    </w:p>
    <w:p w14:paraId="63F10990">
      <w:pPr>
        <w:spacing w:line="560" w:lineRule="exact"/>
        <w:ind w:firstLine="560" w:firstLineChars="200"/>
        <w:rPr>
          <w:rFonts w:hint="eastAsia" w:ascii="仿宋_GB2312"/>
          <w:color w:val="auto"/>
          <w:highlight w:val="none"/>
          <w:lang w:val="en-US" w:eastAsia="zh-CN"/>
        </w:rPr>
      </w:pPr>
      <w:r>
        <w:rPr>
          <w:rFonts w:hint="eastAsia" w:ascii="仿宋_GB2312"/>
          <w:color w:val="auto"/>
          <w:highlight w:val="none"/>
          <w:lang w:val="en-US" w:eastAsia="zh-CN"/>
        </w:rPr>
        <w:t>该项目资金投入情况：经水财发〔2024〕1号文件批准，项目系2024年本级资金，共安排预算504万元，资金到位率100%，是2024年年初预算批复项目，年中无资金调整情况。</w:t>
      </w:r>
    </w:p>
    <w:p w14:paraId="77C7B2E2">
      <w:pPr>
        <w:spacing w:line="560" w:lineRule="exact"/>
        <w:ind w:firstLine="560" w:firstLineChars="200"/>
        <w:rPr>
          <w:rFonts w:hint="eastAsia" w:ascii="仿宋_GB2312"/>
          <w:color w:val="auto"/>
          <w:highlight w:val="none"/>
          <w:lang w:val="en-US" w:eastAsia="zh-CN"/>
        </w:rPr>
      </w:pPr>
      <w:r>
        <w:rPr>
          <w:rFonts w:hint="eastAsia" w:ascii="仿宋_GB2312"/>
          <w:color w:val="auto"/>
          <w:highlight w:val="none"/>
          <w:lang w:val="en-US" w:eastAsia="zh-CN"/>
        </w:rPr>
        <w:t>该项目资金使用情况：该项目年初预算数504万元，全年预算数504万元,</w:t>
      </w:r>
      <w:r>
        <w:rPr>
          <w:rFonts w:hint="eastAsia" w:ascii="仿宋_GB2312"/>
          <w:color w:val="auto"/>
          <w:highlight w:val="none"/>
          <w:lang w:val="en-US" w:eastAsia="zh-CN"/>
        </w:rPr>
        <w:t>全年执行数399.56万元，预算执行率为79.28%，主要用于：我辖区12个社区日常工作有序开展，各项服务与管理工作正常推进，全年运转经费81.96万元；为丰富辖区居民精神文化生活，组织开展形式多样的群众活动，全年活动场次达30次，使用经费1.18万元；为社区常态化运转提供坚实的物资保障，使社区日常办公高效运行，购置各类办公耗材达30次，使用经费11.42万元；为切实维护社区经济秩序稳定，保障合作方合法权益，优化社区营商环境，化解了基建工程、样板社区、日常运转、疫情这四类欠款合计305万元。</w:t>
      </w:r>
      <w:r>
        <w:rPr>
          <w:rFonts w:hint="eastAsia" w:ascii="仿宋_GB2312"/>
          <w:color w:val="auto"/>
          <w:highlight w:val="none"/>
          <w:lang w:val="en-US" w:eastAsia="zh-CN"/>
        </w:rPr>
        <w:t>通过完善社区基础设施、丰富群众文化生活，解决历史遗留欠款问题等一系列举措，辖区居民生活质量得到改善，居民对社区工作的满意度提升。</w:t>
      </w:r>
    </w:p>
    <w:p w14:paraId="7F75809E">
      <w:pPr>
        <w:pStyle w:val="3"/>
        <w:ind w:firstLine="643"/>
        <w:rPr>
          <w:rFonts w:ascii="仿宋" w:hAnsi="仿宋" w:eastAsia="仿宋"/>
          <w:color w:val="auto"/>
          <w:highlight w:val="none"/>
          <w:lang w:bidi="en-US"/>
        </w:rPr>
      </w:pPr>
      <w:bookmarkStart w:id="6" w:name="_Toc196487536"/>
      <w:bookmarkStart w:id="7" w:name="_Toc67911603"/>
      <w:r>
        <w:rPr>
          <w:rFonts w:hint="eastAsia" w:ascii="仿宋" w:hAnsi="仿宋" w:eastAsia="仿宋"/>
          <w:color w:val="auto"/>
          <w:highlight w:val="none"/>
          <w:lang w:bidi="en-US"/>
        </w:rPr>
        <w:t>（二）项目绩效目标：</w:t>
      </w:r>
      <w:bookmarkEnd w:id="6"/>
      <w:bookmarkEnd w:id="7"/>
    </w:p>
    <w:p w14:paraId="40CFCE2B">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本项目依据《中共中央国务院关于全面实施预算绩效管理的意见》（中发〔2018〕</w:t>
      </w:r>
      <w:r>
        <w:rPr>
          <w:rFonts w:ascii="仿宋_GB2312" w:hAnsi="仿宋"/>
          <w:color w:val="auto"/>
          <w:szCs w:val="28"/>
          <w:highlight w:val="none"/>
        </w:rPr>
        <w:t>34</w:t>
      </w:r>
      <w:r>
        <w:rPr>
          <w:rFonts w:hint="eastAsia" w:ascii="仿宋_GB2312" w:hAnsi="仿宋"/>
          <w:color w:val="auto"/>
          <w:szCs w:val="28"/>
          <w:highlight w:val="none"/>
        </w:rPr>
        <w:t>号）、《关于印发&lt;乌鲁木齐市本级部门预算绩效目标管理暂行办法</w:t>
      </w:r>
      <w:r>
        <w:rPr>
          <w:rFonts w:ascii="仿宋_GB2312" w:hAnsi="仿宋"/>
          <w:color w:val="auto"/>
          <w:szCs w:val="28"/>
          <w:highlight w:val="none"/>
        </w:rPr>
        <w:t>&gt;</w:t>
      </w:r>
      <w:r>
        <w:rPr>
          <w:rFonts w:hint="eastAsia" w:ascii="仿宋_GB2312" w:hAnsi="仿宋"/>
          <w:color w:val="auto"/>
          <w:szCs w:val="28"/>
          <w:highlight w:val="none"/>
        </w:rPr>
        <w:t>的通知》（乌财预</w:t>
      </w:r>
      <w:bookmarkStart w:id="8" w:name="_Hlk67566397"/>
      <w:r>
        <w:rPr>
          <w:rFonts w:hint="eastAsia" w:ascii="仿宋_GB2312" w:hAnsi="仿宋"/>
          <w:color w:val="auto"/>
          <w:szCs w:val="28"/>
          <w:highlight w:val="none"/>
        </w:rPr>
        <w:t>〔2018〕</w:t>
      </w:r>
      <w:r>
        <w:rPr>
          <w:rFonts w:ascii="仿宋_GB2312" w:hAnsi="仿宋"/>
          <w:color w:val="auto"/>
          <w:szCs w:val="28"/>
          <w:highlight w:val="none"/>
        </w:rPr>
        <w:t>5</w:t>
      </w:r>
      <w:r>
        <w:rPr>
          <w:rFonts w:hint="eastAsia" w:ascii="仿宋_GB2312" w:hAnsi="仿宋"/>
          <w:color w:val="auto"/>
          <w:szCs w:val="28"/>
          <w:highlight w:val="none"/>
        </w:rPr>
        <w:t>6号</w:t>
      </w:r>
      <w:bookmarkEnd w:id="8"/>
      <w:r>
        <w:rPr>
          <w:rFonts w:hint="eastAsia" w:ascii="仿宋_GB2312" w:hAnsi="仿宋"/>
          <w:color w:val="auto"/>
          <w:szCs w:val="28"/>
          <w:highlight w:val="none"/>
        </w:rPr>
        <w:t>）、《关于做好2</w:t>
      </w:r>
      <w:r>
        <w:rPr>
          <w:rFonts w:ascii="仿宋_GB2312" w:hAnsi="仿宋"/>
          <w:color w:val="auto"/>
          <w:szCs w:val="28"/>
          <w:highlight w:val="none"/>
        </w:rPr>
        <w:t>019</w:t>
      </w:r>
      <w:r>
        <w:rPr>
          <w:rFonts w:hint="eastAsia" w:ascii="仿宋_GB2312" w:hAnsi="仿宋"/>
          <w:color w:val="auto"/>
          <w:szCs w:val="28"/>
          <w:highlight w:val="none"/>
        </w:rPr>
        <w:t>年部门预算项目支出绩效目标管理有关事宜的通知》（乌财预〔20</w:t>
      </w:r>
      <w:r>
        <w:rPr>
          <w:rFonts w:ascii="仿宋_GB2312" w:hAnsi="仿宋"/>
          <w:color w:val="auto"/>
          <w:szCs w:val="28"/>
          <w:highlight w:val="none"/>
        </w:rPr>
        <w:t>18</w:t>
      </w:r>
      <w:r>
        <w:rPr>
          <w:rFonts w:hint="eastAsia" w:ascii="仿宋_GB2312" w:hAnsi="仿宋"/>
          <w:color w:val="auto"/>
          <w:szCs w:val="28"/>
          <w:highlight w:val="none"/>
        </w:rPr>
        <w:t>〕</w:t>
      </w:r>
      <w:r>
        <w:rPr>
          <w:rFonts w:ascii="仿宋_GB2312" w:hAnsi="仿宋"/>
          <w:color w:val="auto"/>
          <w:szCs w:val="28"/>
          <w:highlight w:val="none"/>
        </w:rPr>
        <w:t>76</w:t>
      </w:r>
      <w:r>
        <w:rPr>
          <w:rFonts w:hint="eastAsia" w:ascii="仿宋_GB2312" w:hAnsi="仿宋"/>
          <w:color w:val="auto"/>
          <w:szCs w:val="28"/>
          <w:highlight w:val="none"/>
        </w:rPr>
        <w:t>号）和《项目支出绩效评价管理办法》（财预〔20</w:t>
      </w:r>
      <w:r>
        <w:rPr>
          <w:rFonts w:ascii="仿宋_GB2312" w:hAnsi="仿宋"/>
          <w:color w:val="auto"/>
          <w:szCs w:val="28"/>
          <w:highlight w:val="none"/>
        </w:rPr>
        <w:t>20</w:t>
      </w:r>
      <w:r>
        <w:rPr>
          <w:rFonts w:hint="eastAsia" w:ascii="仿宋_GB2312" w:hAnsi="仿宋"/>
          <w:color w:val="auto"/>
          <w:szCs w:val="28"/>
          <w:highlight w:val="none"/>
        </w:rPr>
        <w:t>〕</w:t>
      </w:r>
      <w:r>
        <w:rPr>
          <w:rFonts w:ascii="仿宋_GB2312" w:hAnsi="仿宋"/>
          <w:color w:val="auto"/>
          <w:szCs w:val="28"/>
          <w:highlight w:val="none"/>
        </w:rPr>
        <w:t>10</w:t>
      </w:r>
      <w:r>
        <w:rPr>
          <w:rFonts w:hint="eastAsia" w:ascii="仿宋_GB2312" w:hAnsi="仿宋"/>
          <w:color w:val="auto"/>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成本指标、效益指标、满意度指标），以准确、清晰地反映财政资金在使用期所能达到的预期产出和效果。</w:t>
      </w:r>
    </w:p>
    <w:p w14:paraId="11CC8E15">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该项目为</w:t>
      </w:r>
      <w:r>
        <w:rPr>
          <w:rFonts w:ascii="仿宋_GB2312" w:hAnsi="仿宋"/>
          <w:color w:val="auto"/>
          <w:szCs w:val="28"/>
          <w:highlight w:val="none"/>
        </w:rPr>
        <w:t>经常性项目。</w:t>
      </w:r>
    </w:p>
    <w:p w14:paraId="6C39A4E2">
      <w:pPr>
        <w:spacing w:line="360" w:lineRule="auto"/>
        <w:ind w:firstLine="560"/>
        <w:rPr>
          <w:rFonts w:hint="eastAsia" w:ascii="仿宋_GB2312" w:hAnsi="仿宋"/>
          <w:color w:val="auto"/>
          <w:szCs w:val="28"/>
          <w:highlight w:val="none"/>
          <w:lang w:val="en-US" w:eastAsia="zh-CN"/>
        </w:rPr>
      </w:pPr>
      <w:r>
        <w:rPr>
          <w:rFonts w:hint="eastAsia" w:ascii="仿宋_GB2312" w:hAnsi="仿宋"/>
          <w:color w:val="auto"/>
          <w:szCs w:val="28"/>
          <w:highlight w:val="none"/>
        </w:rPr>
        <w:t>该项目总体绩效目标：</w:t>
      </w:r>
      <w:r>
        <w:rPr>
          <w:rFonts w:hint="eastAsia" w:ascii="仿宋_GB2312" w:hAnsi="仿宋"/>
          <w:color w:val="auto"/>
          <w:szCs w:val="28"/>
          <w:highlight w:val="none"/>
          <w:lang w:eastAsia="zh-CN"/>
        </w:rPr>
        <w:t>社区经费（</w:t>
      </w:r>
      <w:r>
        <w:rPr>
          <w:rFonts w:hint="eastAsia" w:ascii="仿宋_GB2312" w:hAnsi="仿宋"/>
          <w:color w:val="auto"/>
          <w:szCs w:val="28"/>
          <w:highlight w:val="none"/>
          <w:lang w:val="en-US" w:eastAsia="zh-CN"/>
        </w:rPr>
        <w:t>80%</w:t>
      </w:r>
      <w:r>
        <w:rPr>
          <w:rFonts w:hint="eastAsia" w:ascii="仿宋_GB2312" w:hAnsi="仿宋"/>
          <w:color w:val="auto"/>
          <w:szCs w:val="28"/>
          <w:highlight w:val="none"/>
          <w:lang w:eastAsia="zh-CN"/>
        </w:rPr>
        <w:t>），</w:t>
      </w:r>
      <w:r>
        <w:rPr>
          <w:rFonts w:hint="eastAsia" w:ascii="仿宋_GB2312" w:hAnsi="仿宋"/>
          <w:color w:val="auto"/>
          <w:szCs w:val="28"/>
          <w:highlight w:val="none"/>
          <w:lang w:val="en-US" w:eastAsia="zh-CN"/>
        </w:rPr>
        <w:t>项目资金504万元，</w:t>
      </w:r>
      <w:r>
        <w:rPr>
          <w:rFonts w:hint="eastAsia" w:ascii="仿宋_GB2312" w:hAnsi="仿宋"/>
          <w:color w:val="auto"/>
          <w:szCs w:val="28"/>
          <w:highlight w:val="none"/>
          <w:lang w:eastAsia="zh-CN"/>
        </w:rPr>
        <w:t>主要用于保障辖区</w:t>
      </w:r>
      <w:r>
        <w:rPr>
          <w:rFonts w:hint="eastAsia" w:ascii="仿宋_GB2312" w:hAnsi="仿宋"/>
          <w:color w:val="auto"/>
          <w:szCs w:val="28"/>
          <w:highlight w:val="none"/>
          <w:lang w:val="en-US" w:eastAsia="zh-CN"/>
        </w:rPr>
        <w:t>12个社区水费、电费、电话费、暖气费等日常运行开支，党建服务、文化活动、民生支出等群众活动及化解社区历年欠款的开支，有效提高社区工作人员工作效率，提高辖区居民满意度。</w:t>
      </w:r>
    </w:p>
    <w:p w14:paraId="608ABE28">
      <w:pPr>
        <w:spacing w:line="360" w:lineRule="auto"/>
        <w:ind w:firstLine="560"/>
        <w:rPr>
          <w:rFonts w:hint="eastAsia" w:ascii="仿宋_GB2312" w:hAnsi="仿宋"/>
          <w:color w:val="auto"/>
          <w:szCs w:val="28"/>
          <w:highlight w:val="none"/>
          <w:lang w:val="en-US" w:eastAsia="zh-CN"/>
        </w:rPr>
      </w:pPr>
      <w:r>
        <w:rPr>
          <w:rFonts w:hint="eastAsia" w:ascii="仿宋_GB2312" w:hAnsi="仿宋"/>
          <w:color w:val="auto"/>
          <w:szCs w:val="28"/>
          <w:highlight w:val="none"/>
        </w:rPr>
        <w:t>该项目阶段性目标为：</w:t>
      </w:r>
      <w:r>
        <w:rPr>
          <w:rFonts w:hint="eastAsia" w:ascii="仿宋_GB2312" w:hAnsi="仿宋"/>
          <w:color w:val="auto"/>
          <w:szCs w:val="28"/>
          <w:highlight w:val="none"/>
          <w:lang w:eastAsia="zh-CN"/>
        </w:rPr>
        <w:t>第一季度阶段性目标。日常运行和办公耗材方面，完成</w:t>
      </w:r>
      <w:r>
        <w:rPr>
          <w:rFonts w:hint="eastAsia" w:ascii="仿宋_GB2312" w:hAnsi="仿宋"/>
          <w:color w:val="auto"/>
          <w:szCs w:val="28"/>
          <w:highlight w:val="none"/>
          <w:lang w:val="en-US" w:eastAsia="zh-CN"/>
        </w:rPr>
        <w:t>12个社区水电费、电话费、暖气费、办公耗材等费用的预算编制和核对，梳理欠费情况，确保资金按时拨付，确保不出现因欠费导致的停水停电情况。群众活动开支方面，制定党建服务、文化活动、民生支出等群众活动初步方案，确定活动主题与形式。化解欠款方面，需耗费大量时间和精力梳理欠款涉及多方责任主体。</w:t>
      </w:r>
    </w:p>
    <w:p w14:paraId="102B602C">
      <w:pPr>
        <w:spacing w:line="360" w:lineRule="auto"/>
        <w:ind w:firstLine="560"/>
        <w:rPr>
          <w:rFonts w:hint="default" w:ascii="仿宋_GB2312" w:hAnsi="仿宋"/>
          <w:color w:val="auto"/>
          <w:szCs w:val="28"/>
          <w:highlight w:val="none"/>
          <w:lang w:val="en-US" w:eastAsia="zh-CN"/>
        </w:rPr>
      </w:pPr>
      <w:r>
        <w:rPr>
          <w:rFonts w:hint="eastAsia" w:ascii="仿宋_GB2312" w:hAnsi="仿宋"/>
          <w:color w:val="auto"/>
          <w:szCs w:val="28"/>
          <w:highlight w:val="none"/>
          <w:lang w:eastAsia="zh-CN"/>
        </w:rPr>
        <w:t>第二季度阶段性目标。日常运行和办公耗材方面，建立社区日常运行开支动态监控机制，实时掌握费用支出情况，每月进行费用分析与预警。群众活动开支方面，完成开展党建服务活动</w:t>
      </w:r>
      <w:r>
        <w:rPr>
          <w:rFonts w:hint="eastAsia" w:ascii="仿宋_GB2312" w:hAnsi="仿宋"/>
          <w:color w:val="auto"/>
          <w:szCs w:val="28"/>
          <w:highlight w:val="none"/>
          <w:lang w:val="en-US" w:eastAsia="zh-CN"/>
        </w:rPr>
        <w:t>6</w:t>
      </w:r>
      <w:r>
        <w:rPr>
          <w:rFonts w:hint="eastAsia" w:ascii="仿宋_GB2312" w:hAnsi="仿宋"/>
          <w:color w:val="auto"/>
          <w:szCs w:val="28"/>
          <w:highlight w:val="none"/>
          <w:lang w:eastAsia="zh-CN"/>
        </w:rPr>
        <w:t>场、文化活动</w:t>
      </w:r>
      <w:r>
        <w:rPr>
          <w:rFonts w:hint="eastAsia" w:ascii="仿宋_GB2312" w:hAnsi="仿宋"/>
          <w:color w:val="auto"/>
          <w:szCs w:val="28"/>
          <w:highlight w:val="none"/>
          <w:lang w:val="en-US" w:eastAsia="zh-CN"/>
        </w:rPr>
        <w:t>12</w:t>
      </w:r>
      <w:r>
        <w:rPr>
          <w:rFonts w:hint="eastAsia" w:ascii="仿宋_GB2312" w:hAnsi="仿宋"/>
          <w:color w:val="auto"/>
          <w:szCs w:val="28"/>
          <w:highlight w:val="none"/>
          <w:lang w:eastAsia="zh-CN"/>
        </w:rPr>
        <w:t>场，落实民生支出项目。</w:t>
      </w:r>
      <w:r>
        <w:rPr>
          <w:rFonts w:hint="eastAsia" w:ascii="仿宋_GB2312" w:hAnsi="仿宋"/>
          <w:color w:val="auto"/>
          <w:szCs w:val="28"/>
          <w:highlight w:val="none"/>
          <w:lang w:val="en-US" w:eastAsia="zh-CN"/>
        </w:rPr>
        <w:t>化解欠款方面，积极向财政申请资金，完成目标值40%欠款。</w:t>
      </w:r>
    </w:p>
    <w:p w14:paraId="7E27408B">
      <w:pPr>
        <w:spacing w:line="360" w:lineRule="auto"/>
        <w:ind w:firstLine="560"/>
        <w:rPr>
          <w:rFonts w:hint="eastAsia" w:ascii="仿宋_GB2312" w:hAnsi="仿宋"/>
          <w:color w:val="auto"/>
          <w:szCs w:val="28"/>
          <w:highlight w:val="none"/>
          <w:lang w:eastAsia="zh-CN"/>
        </w:rPr>
      </w:pPr>
      <w:r>
        <w:rPr>
          <w:rFonts w:hint="eastAsia" w:ascii="仿宋_GB2312" w:hAnsi="仿宋"/>
          <w:color w:val="auto"/>
          <w:szCs w:val="28"/>
          <w:highlight w:val="none"/>
          <w:lang w:eastAsia="zh-CN"/>
        </w:rPr>
        <w:t>第三季度阶段性目标。日常运行及办公耗材方面，优化社区日常运行开支流程，提高资金使用效率，减少不必要的开支。通过节能措施，使水电费支出较预算降低</w:t>
      </w:r>
      <w:r>
        <w:rPr>
          <w:rFonts w:hint="eastAsia" w:ascii="仿宋_GB2312" w:hAnsi="仿宋"/>
          <w:color w:val="auto"/>
          <w:szCs w:val="28"/>
          <w:highlight w:val="none"/>
          <w:lang w:val="en-US" w:eastAsia="zh-CN"/>
        </w:rPr>
        <w:t>10</w:t>
      </w:r>
      <w:r>
        <w:rPr>
          <w:rFonts w:hint="eastAsia" w:ascii="仿宋_GB2312" w:hAnsi="仿宋"/>
          <w:color w:val="auto"/>
          <w:szCs w:val="28"/>
          <w:highlight w:val="none"/>
          <w:lang w:eastAsia="zh-CN"/>
        </w:rPr>
        <w:t>%。群众活动开支方面，针对党建服务、文化活动、民生支出等活动开展满意度调查，居民满意度达到</w:t>
      </w:r>
      <w:r>
        <w:rPr>
          <w:rFonts w:hint="eastAsia" w:ascii="仿宋_GB2312" w:hAnsi="仿宋"/>
          <w:color w:val="auto"/>
          <w:szCs w:val="28"/>
          <w:highlight w:val="none"/>
          <w:lang w:val="en-US" w:eastAsia="zh-CN"/>
        </w:rPr>
        <w:t>90</w:t>
      </w:r>
      <w:r>
        <w:rPr>
          <w:rFonts w:hint="eastAsia" w:ascii="仿宋_GB2312" w:hAnsi="仿宋"/>
          <w:color w:val="auto"/>
          <w:szCs w:val="28"/>
          <w:highlight w:val="none"/>
          <w:lang w:eastAsia="zh-CN"/>
        </w:rPr>
        <w:t>%以上。</w:t>
      </w:r>
      <w:r>
        <w:rPr>
          <w:rFonts w:hint="eastAsia" w:ascii="仿宋_GB2312" w:hAnsi="仿宋"/>
          <w:color w:val="auto"/>
          <w:szCs w:val="28"/>
          <w:highlight w:val="none"/>
          <w:lang w:val="en-US" w:eastAsia="zh-CN"/>
        </w:rPr>
        <w:t>化解欠款方面，进一步向财政申请资金，完成目标值70%欠款。</w:t>
      </w:r>
    </w:p>
    <w:p w14:paraId="196052FC">
      <w:pPr>
        <w:spacing w:line="360" w:lineRule="auto"/>
        <w:ind w:firstLine="560"/>
        <w:rPr>
          <w:rFonts w:hint="eastAsia" w:ascii="仿宋_GB2312" w:hAnsi="仿宋"/>
          <w:color w:val="auto"/>
          <w:szCs w:val="28"/>
          <w:highlight w:val="none"/>
          <w:lang w:val="en-US" w:eastAsia="zh-CN"/>
        </w:rPr>
      </w:pPr>
      <w:r>
        <w:rPr>
          <w:rFonts w:hint="eastAsia" w:ascii="仿宋_GB2312" w:hAnsi="仿宋"/>
          <w:color w:val="auto"/>
          <w:szCs w:val="28"/>
          <w:highlight w:val="none"/>
          <w:lang w:eastAsia="zh-CN"/>
        </w:rPr>
        <w:t>第四季度阶段性目标。日常运行和办公耗材方面，完成全年社区水电费、电话费、暖气费等费用结算与总结，对结余资金合理规划使用。群众活动开支方面，总结全年党建服务、文化活动、民生支出等工作成果，形成案例集与经验报告，提高辖区居民对社区工作满意度 。完成全年欠费化解总目标，并总结经验，为下一年度本项工作奠定基础。</w:t>
      </w:r>
    </w:p>
    <w:p w14:paraId="1C0E66A9">
      <w:pPr>
        <w:pStyle w:val="2"/>
        <w:ind w:firstLine="0" w:firstLineChars="0"/>
        <w:jc w:val="left"/>
        <w:rPr>
          <w:rFonts w:ascii="仿宋" w:hAnsi="仿宋" w:eastAsia="仿宋"/>
          <w:color w:val="auto"/>
          <w:sz w:val="36"/>
          <w:szCs w:val="36"/>
          <w:highlight w:val="none"/>
          <w:lang w:bidi="en-US"/>
        </w:rPr>
      </w:pPr>
      <w:bookmarkStart w:id="9" w:name="_Toc196487537"/>
      <w:bookmarkStart w:id="10" w:name="_Toc67911604"/>
      <w:r>
        <w:rPr>
          <w:rFonts w:hint="eastAsia" w:ascii="仿宋" w:hAnsi="仿宋" w:eastAsia="仿宋"/>
          <w:color w:val="auto"/>
          <w:sz w:val="36"/>
          <w:szCs w:val="36"/>
          <w:highlight w:val="none"/>
          <w:lang w:bidi="en-US"/>
        </w:rPr>
        <w:t>二、绩效评价工作开展情况</w:t>
      </w:r>
      <w:bookmarkEnd w:id="9"/>
      <w:bookmarkEnd w:id="10"/>
    </w:p>
    <w:p w14:paraId="478EDFAE">
      <w:pPr>
        <w:pStyle w:val="3"/>
        <w:ind w:firstLine="643"/>
        <w:rPr>
          <w:rFonts w:ascii="仿宋" w:hAnsi="仿宋" w:eastAsia="仿宋"/>
          <w:color w:val="auto"/>
          <w:highlight w:val="none"/>
          <w:lang w:bidi="en-US"/>
        </w:rPr>
      </w:pPr>
      <w:bookmarkStart w:id="11" w:name="_Toc196487538"/>
      <w:bookmarkStart w:id="12" w:name="_Toc67911605"/>
      <w:r>
        <w:rPr>
          <w:rFonts w:hint="eastAsia" w:ascii="仿宋" w:hAnsi="仿宋" w:eastAsia="仿宋"/>
          <w:color w:val="auto"/>
          <w:highlight w:val="none"/>
          <w:lang w:bidi="en-US"/>
        </w:rPr>
        <w:t>（一）绩效评价目的、对象和范围</w:t>
      </w:r>
      <w:bookmarkEnd w:id="11"/>
      <w:bookmarkEnd w:id="12"/>
    </w:p>
    <w:p w14:paraId="55B3D97B">
      <w:pPr>
        <w:pStyle w:val="4"/>
        <w:ind w:firstLine="643"/>
        <w:rPr>
          <w:color w:val="auto"/>
          <w:highlight w:val="none"/>
        </w:rPr>
      </w:pPr>
      <w:bookmarkStart w:id="13" w:name="_Toc196487539"/>
      <w:r>
        <w:rPr>
          <w:rFonts w:hint="eastAsia"/>
          <w:color w:val="auto"/>
          <w:highlight w:val="none"/>
        </w:rPr>
        <w:t>1</w:t>
      </w:r>
      <w:r>
        <w:rPr>
          <w:color w:val="auto"/>
          <w:highlight w:val="none"/>
        </w:rPr>
        <w:t>.绩效评价完整性</w:t>
      </w:r>
      <w:bookmarkEnd w:id="13"/>
    </w:p>
    <w:p w14:paraId="173A730B">
      <w:pPr>
        <w:spacing w:line="360" w:lineRule="auto"/>
        <w:ind w:firstLine="560"/>
        <w:rPr>
          <w:rFonts w:hint="eastAsia" w:ascii="仿宋_GB2312"/>
          <w:color w:val="auto"/>
          <w:highlight w:val="none"/>
          <w:lang w:val="en-US" w:eastAsia="zh-CN"/>
        </w:rPr>
      </w:pPr>
      <w:r>
        <w:rPr>
          <w:rFonts w:hint="eastAsia" w:ascii="仿宋_GB2312"/>
          <w:color w:val="auto"/>
          <w:highlight w:val="none"/>
          <w:lang w:val="en-US" w:eastAsia="zh-CN"/>
        </w:rPr>
        <w:t>首先，社区经费（80%）项目评价指标通过资金的实际用途分类，如日常运转支出、办公耗材支出、举办群众活动、化解历年欠款等，完整体现该项目所需，进行目标设定；通过公用经费类指标，如社区工作正常开展率、辖区居民满意度等相关指标，反映该类项目目标要求。</w:t>
      </w:r>
    </w:p>
    <w:p w14:paraId="28D41B15">
      <w:pPr>
        <w:spacing w:line="360" w:lineRule="auto"/>
        <w:ind w:firstLine="560"/>
        <w:rPr>
          <w:rFonts w:hint="eastAsia" w:ascii="仿宋_GB2312"/>
          <w:color w:val="auto"/>
          <w:highlight w:val="none"/>
          <w:lang w:val="en-US" w:eastAsia="zh-CN"/>
        </w:rPr>
      </w:pPr>
      <w:r>
        <w:rPr>
          <w:rFonts w:hint="eastAsia" w:ascii="仿宋_GB2312"/>
          <w:color w:val="auto"/>
          <w:highlight w:val="none"/>
          <w:lang w:val="en-US" w:eastAsia="zh-CN"/>
        </w:rPr>
        <w:t>其次，我单位按照社区经费（80%）项目的具体用途和资金实际使用涉及的相关科目，逐条进行消化，以便对项目的整体情况有一个清晰的了解。</w:t>
      </w:r>
    </w:p>
    <w:p w14:paraId="2B26FC3E">
      <w:pPr>
        <w:spacing w:line="360" w:lineRule="auto"/>
        <w:ind w:firstLine="560"/>
        <w:rPr>
          <w:rFonts w:hint="eastAsia" w:ascii="仿宋_GB2312"/>
          <w:color w:val="auto"/>
          <w:highlight w:val="none"/>
        </w:rPr>
      </w:pPr>
      <w:r>
        <w:rPr>
          <w:rFonts w:hint="eastAsia" w:ascii="仿宋_GB2312"/>
          <w:color w:val="auto"/>
          <w:highlight w:val="none"/>
        </w:rPr>
        <w:t>最后，</w:t>
      </w:r>
      <w:r>
        <w:rPr>
          <w:rFonts w:hint="eastAsia" w:ascii="仿宋_GB2312"/>
          <w:color w:val="auto"/>
          <w:highlight w:val="none"/>
          <w:lang w:val="en-US" w:eastAsia="zh-CN"/>
        </w:rPr>
        <w:t>评价数据资料来源于项目档案中项目立项、合同、招投标等项目资料；从会计档案中收集资金支付相关凭证；从辖区居民收集调查问卷等资料，评价数据的来源、采集方式合法合规，确保了数据的准确性和完整性。</w:t>
      </w:r>
    </w:p>
    <w:p w14:paraId="70929C84">
      <w:pPr>
        <w:pStyle w:val="4"/>
        <w:ind w:firstLine="643"/>
        <w:rPr>
          <w:color w:val="auto"/>
          <w:highlight w:val="none"/>
        </w:rPr>
      </w:pPr>
      <w:bookmarkStart w:id="14" w:name="_Toc196487540"/>
      <w:r>
        <w:rPr>
          <w:color w:val="auto"/>
          <w:highlight w:val="none"/>
        </w:rPr>
        <w:t>2</w:t>
      </w:r>
      <w:r>
        <w:rPr>
          <w:rFonts w:hint="eastAsia"/>
          <w:color w:val="auto"/>
          <w:highlight w:val="none"/>
        </w:rPr>
        <w:t>.评价目的</w:t>
      </w:r>
      <w:bookmarkEnd w:id="14"/>
    </w:p>
    <w:p w14:paraId="11C6F3F9">
      <w:pPr>
        <w:spacing w:line="360" w:lineRule="auto"/>
        <w:ind w:firstLine="560"/>
        <w:rPr>
          <w:rFonts w:hint="eastAsia" w:ascii="仿宋_GB2312"/>
          <w:color w:val="auto"/>
          <w:highlight w:val="none"/>
        </w:rPr>
      </w:pPr>
      <w:r>
        <w:rPr>
          <w:rFonts w:hint="eastAsia" w:ascii="仿宋_GB2312"/>
          <w:color w:val="auto"/>
          <w:highlight w:val="none"/>
        </w:rPr>
        <w:t>本项工作旨在落实《中共中央国务院关于全面实施预算绩效管理的意见》（中发〔2018〕34号）文件精神，全面推进预算绩效管理工作，落实预算执行及绩效管理主体责任。具体而言包括以下两点：</w:t>
      </w:r>
    </w:p>
    <w:p w14:paraId="096092D7">
      <w:pPr>
        <w:spacing w:line="360" w:lineRule="auto"/>
        <w:ind w:firstLine="560"/>
        <w:rPr>
          <w:rFonts w:ascii="仿宋_GB2312"/>
          <w:color w:val="auto"/>
          <w:highlight w:val="none"/>
        </w:rPr>
      </w:pPr>
      <w:r>
        <w:rPr>
          <w:rFonts w:hint="eastAsia" w:ascii="仿宋_GB2312"/>
          <w:color w:val="auto"/>
          <w:highlight w:val="none"/>
        </w:rPr>
        <w:t>（1）通过对项目设立的背景、意义、项目内容、项目现状及绩效目标、资金投入、资金管理、组织实施、产出指标、成本指标和效益指标等进行深入调研和分析，进一步了解</w:t>
      </w:r>
      <w:r>
        <w:rPr>
          <w:rFonts w:hint="eastAsia" w:ascii="仿宋_GB2312"/>
          <w:color w:val="auto"/>
          <w:highlight w:val="none"/>
          <w:lang w:val="en-US" w:eastAsia="zh-CN"/>
        </w:rPr>
        <w:t>社区经费（80%）</w:t>
      </w:r>
      <w:r>
        <w:rPr>
          <w:rFonts w:hint="eastAsia" w:ascii="仿宋_GB2312"/>
          <w:color w:val="auto"/>
          <w:highlight w:val="none"/>
        </w:rPr>
        <w:t>项目的实施情况，并考察项目实施过程和效果。</w:t>
      </w:r>
    </w:p>
    <w:p w14:paraId="0A5F0F8B">
      <w:pPr>
        <w:spacing w:line="360" w:lineRule="auto"/>
        <w:ind w:firstLine="560"/>
        <w:rPr>
          <w:rFonts w:ascii="仿宋_GB2312"/>
          <w:b/>
          <w:bCs/>
          <w:color w:val="auto"/>
          <w:highlight w:val="none"/>
        </w:rPr>
      </w:pPr>
      <w:r>
        <w:rPr>
          <w:rFonts w:hint="eastAsia" w:ascii="仿宋_GB2312"/>
          <w:color w:val="auto"/>
          <w:highlight w:val="none"/>
        </w:rPr>
        <w:t>（2）通过评价，客观公正反映项目立项科学性、项目管理规范性、项目实施有效性和项目效果，总结项目实施的经验，发现项目实施过程中存在的问题，提高财政资金使用效益。</w:t>
      </w:r>
    </w:p>
    <w:p w14:paraId="14ED4508">
      <w:pPr>
        <w:pStyle w:val="4"/>
        <w:ind w:firstLine="643"/>
        <w:rPr>
          <w:color w:val="auto"/>
          <w:highlight w:val="none"/>
        </w:rPr>
      </w:pPr>
      <w:bookmarkStart w:id="15" w:name="_Toc196487541"/>
      <w:r>
        <w:rPr>
          <w:color w:val="auto"/>
          <w:highlight w:val="none"/>
        </w:rPr>
        <w:t>3</w:t>
      </w:r>
      <w:r>
        <w:rPr>
          <w:rFonts w:hint="eastAsia"/>
          <w:color w:val="auto"/>
          <w:highlight w:val="none"/>
        </w:rPr>
        <w:t>.评价对象</w:t>
      </w:r>
      <w:bookmarkEnd w:id="15"/>
    </w:p>
    <w:p w14:paraId="66ABB039">
      <w:pPr>
        <w:spacing w:line="360" w:lineRule="auto"/>
        <w:ind w:firstLine="560"/>
        <w:rPr>
          <w:rFonts w:ascii="仿宋_GB2312"/>
          <w:color w:val="auto"/>
          <w:highlight w:val="none"/>
        </w:rPr>
      </w:pPr>
      <w:r>
        <w:rPr>
          <w:rFonts w:hint="eastAsia" w:ascii="仿宋_GB2312"/>
          <w:color w:val="auto"/>
          <w:highlight w:val="none"/>
        </w:rPr>
        <w:t>（1）绩效评价的对象：</w:t>
      </w:r>
      <w:r>
        <w:rPr>
          <w:rFonts w:hint="eastAsia" w:ascii="仿宋_GB2312"/>
          <w:color w:val="auto"/>
          <w:highlight w:val="none"/>
          <w:lang w:val="en-US" w:eastAsia="zh-CN"/>
        </w:rPr>
        <w:t>社区经费（80%）</w:t>
      </w:r>
      <w:r>
        <w:rPr>
          <w:rFonts w:hint="eastAsia" w:ascii="仿宋_GB2312"/>
          <w:color w:val="auto"/>
          <w:highlight w:val="none"/>
        </w:rPr>
        <w:t>项目</w:t>
      </w:r>
      <w:r>
        <w:rPr>
          <w:rFonts w:ascii="仿宋_GB2312"/>
          <w:color w:val="auto"/>
          <w:highlight w:val="none"/>
        </w:rPr>
        <w:t xml:space="preserve"> </w:t>
      </w:r>
    </w:p>
    <w:p w14:paraId="637790EC">
      <w:pPr>
        <w:pStyle w:val="4"/>
        <w:ind w:firstLine="643"/>
        <w:rPr>
          <w:color w:val="auto"/>
          <w:highlight w:val="none"/>
        </w:rPr>
      </w:pPr>
      <w:bookmarkStart w:id="16" w:name="_Toc196487542"/>
      <w:r>
        <w:rPr>
          <w:rFonts w:hint="eastAsia"/>
          <w:color w:val="auto"/>
          <w:highlight w:val="none"/>
        </w:rPr>
        <w:t>4</w:t>
      </w:r>
      <w:r>
        <w:rPr>
          <w:color w:val="auto"/>
          <w:highlight w:val="none"/>
        </w:rPr>
        <w:t>.</w:t>
      </w:r>
      <w:r>
        <w:rPr>
          <w:rFonts w:hint="eastAsia"/>
          <w:color w:val="auto"/>
          <w:highlight w:val="none"/>
        </w:rPr>
        <w:t>绩效评价范围</w:t>
      </w:r>
      <w:bookmarkEnd w:id="16"/>
    </w:p>
    <w:p w14:paraId="3D814823">
      <w:pPr>
        <w:spacing w:line="360" w:lineRule="auto"/>
        <w:ind w:firstLine="560"/>
        <w:rPr>
          <w:rFonts w:ascii="仿宋_GB2312"/>
          <w:color w:val="auto"/>
          <w:highlight w:val="none"/>
        </w:rPr>
      </w:pPr>
      <w:r>
        <w:rPr>
          <w:rFonts w:ascii="仿宋_GB2312"/>
          <w:color w:val="auto"/>
          <w:highlight w:val="none"/>
        </w:rPr>
        <w:t>1.</w:t>
      </w:r>
      <w:r>
        <w:rPr>
          <w:rFonts w:hint="eastAsia" w:ascii="仿宋_GB2312"/>
          <w:color w:val="auto"/>
          <w:highlight w:val="none"/>
        </w:rPr>
        <w:t>时间范围：2024年1月1日至2024年1</w:t>
      </w:r>
      <w:r>
        <w:rPr>
          <w:rFonts w:ascii="仿宋_GB2312"/>
          <w:color w:val="auto"/>
          <w:highlight w:val="none"/>
        </w:rPr>
        <w:t>2</w:t>
      </w:r>
      <w:r>
        <w:rPr>
          <w:rFonts w:hint="eastAsia" w:ascii="仿宋_GB2312"/>
          <w:color w:val="auto"/>
          <w:highlight w:val="none"/>
        </w:rPr>
        <w:t>月3</w:t>
      </w:r>
      <w:r>
        <w:rPr>
          <w:rFonts w:ascii="仿宋_GB2312"/>
          <w:color w:val="auto"/>
          <w:highlight w:val="none"/>
        </w:rPr>
        <w:t>1</w:t>
      </w:r>
      <w:r>
        <w:rPr>
          <w:rFonts w:hint="eastAsia" w:ascii="仿宋_GB2312"/>
          <w:color w:val="auto"/>
          <w:highlight w:val="none"/>
        </w:rPr>
        <w:t>日。</w:t>
      </w:r>
    </w:p>
    <w:p w14:paraId="1203583C">
      <w:pPr>
        <w:spacing w:line="360" w:lineRule="auto"/>
        <w:ind w:firstLine="560"/>
        <w:rPr>
          <w:rFonts w:hint="eastAsia" w:ascii="仿宋_GB2312"/>
          <w:color w:val="auto"/>
          <w:highlight w:val="none"/>
        </w:rPr>
      </w:pPr>
      <w:r>
        <w:rPr>
          <w:rFonts w:ascii="仿宋_GB2312"/>
          <w:color w:val="auto"/>
          <w:highlight w:val="none"/>
        </w:rPr>
        <w:t>2.</w:t>
      </w:r>
      <w:r>
        <w:rPr>
          <w:rFonts w:hint="eastAsia" w:ascii="仿宋_GB2312"/>
          <w:color w:val="auto"/>
          <w:highlight w:val="none"/>
        </w:rPr>
        <w:t>项目范围：</w:t>
      </w:r>
    </w:p>
    <w:p w14:paraId="37FC46B1">
      <w:pPr>
        <w:spacing w:line="560" w:lineRule="exact"/>
        <w:ind w:firstLine="560" w:firstLineChars="200"/>
        <w:rPr>
          <w:rFonts w:hint="eastAsia" w:ascii="仿宋_GB2312"/>
          <w:color w:val="auto"/>
          <w:highlight w:val="none"/>
          <w:lang w:val="en-US" w:eastAsia="zh-CN"/>
        </w:rPr>
      </w:pPr>
      <w:r>
        <w:rPr>
          <w:rFonts w:hint="eastAsia" w:ascii="仿宋_GB2312"/>
          <w:color w:val="auto"/>
          <w:highlight w:val="none"/>
          <w:lang w:val="en-US" w:eastAsia="zh-CN"/>
        </w:rPr>
        <w:t>项目基本情况：社区经费（80%）项目，</w:t>
      </w:r>
      <w:r>
        <w:rPr>
          <w:rFonts w:hint="eastAsia" w:ascii="仿宋_GB2312" w:hAnsi="仿宋"/>
          <w:color w:val="auto"/>
          <w:szCs w:val="28"/>
          <w:highlight w:val="none"/>
          <w:lang w:eastAsia="zh-CN"/>
        </w:rPr>
        <w:t>主要用于保障辖区</w:t>
      </w:r>
      <w:r>
        <w:rPr>
          <w:rFonts w:hint="eastAsia" w:ascii="仿宋_GB2312" w:hAnsi="仿宋"/>
          <w:color w:val="auto"/>
          <w:szCs w:val="28"/>
          <w:highlight w:val="none"/>
          <w:lang w:val="en-US" w:eastAsia="zh-CN"/>
        </w:rPr>
        <w:t>12个社区的日常运行开支、办公耗材支出、群众活动支出和化解历年欠款，通过稳步有序的工作，有效提高社区工作人员工作效率，提高辖区居民满意度。</w:t>
      </w:r>
      <w:r>
        <w:rPr>
          <w:rFonts w:hint="eastAsia" w:ascii="仿宋_GB2312"/>
          <w:color w:val="auto"/>
          <w:highlight w:val="none"/>
          <w:lang w:val="en-US" w:eastAsia="zh-CN"/>
        </w:rPr>
        <w:t>项目年初预算数504万元，全年预算数504万元,</w:t>
      </w:r>
      <w:r>
        <w:rPr>
          <w:rFonts w:hint="eastAsia" w:ascii="仿宋_GB2312"/>
          <w:color w:val="auto"/>
          <w:highlight w:val="none"/>
          <w:lang w:val="en-US" w:eastAsia="zh-CN"/>
        </w:rPr>
        <w:t>全年执行数399.56万元，预算执行率为79.28%。项目主要用于：我辖区12个社区日常工作有序开展，各项服务与管理工作正常推进，全年运转经费81.96万元；为丰富辖区居民精神文化生活，组织开展形式多样的群众活动，全年活动场次达30次，使用经费1.18万元；为社区常态化运转提供坚实的物资保障，使社区日常办公高效运行，购置各类办公耗材达30次，使用经费11.42万元；为切实维护社区经济秩序稳定，保障合作方合法权益，优化社区营商环境，化解了基建工程、样板社区、日常运转、疫情这四类欠款合计305万元。</w:t>
      </w:r>
      <w:r>
        <w:rPr>
          <w:rFonts w:hint="eastAsia" w:ascii="仿宋_GB2312"/>
          <w:color w:val="auto"/>
          <w:highlight w:val="none"/>
          <w:lang w:val="en-US" w:eastAsia="zh-CN"/>
        </w:rPr>
        <w:t>通过完善社区</w:t>
      </w:r>
      <w:r>
        <w:rPr>
          <w:rFonts w:hint="eastAsia" w:ascii="仿宋_GB2312"/>
          <w:color w:val="auto"/>
          <w:highlight w:val="none"/>
          <w:lang w:val="en-US" w:eastAsia="zh-CN"/>
        </w:rPr>
        <w:t>基础设施、丰富群众文化生活，解决历史遗留欠款问题等一系列举措，辖区居民生活质量得到改善，居民对社区工作的满意度提升。</w:t>
      </w:r>
    </w:p>
    <w:p w14:paraId="567ECADE">
      <w:pPr>
        <w:spacing w:line="560" w:lineRule="exact"/>
        <w:ind w:firstLine="560" w:firstLineChars="200"/>
        <w:rPr>
          <w:rFonts w:hint="eastAsia" w:ascii="仿宋_GB2312"/>
          <w:color w:val="auto"/>
          <w:highlight w:val="none"/>
          <w:lang w:val="en-US" w:eastAsia="zh-CN"/>
        </w:rPr>
      </w:pPr>
      <w:r>
        <w:rPr>
          <w:rFonts w:hint="eastAsia" w:ascii="仿宋_GB2312"/>
          <w:color w:val="auto"/>
          <w:highlight w:val="none"/>
          <w:lang w:val="en-US" w:eastAsia="zh-CN"/>
        </w:rPr>
        <w:t>经过全面评价，社区经费（80%）项目综合得分为“95.36”，评价登记为“优”。</w:t>
      </w:r>
    </w:p>
    <w:p w14:paraId="69D5BB87">
      <w:pPr>
        <w:spacing w:line="560" w:lineRule="exact"/>
        <w:ind w:firstLine="560" w:firstLineChars="200"/>
        <w:rPr>
          <w:rFonts w:hint="eastAsia" w:ascii="仿宋_GB2312"/>
          <w:color w:val="auto"/>
          <w:highlight w:val="none"/>
          <w:lang w:val="en-US" w:eastAsia="zh-CN"/>
        </w:rPr>
      </w:pPr>
      <w:r>
        <w:rPr>
          <w:rFonts w:hint="eastAsia" w:ascii="仿宋_GB2312"/>
          <w:color w:val="auto"/>
          <w:highlight w:val="none"/>
          <w:lang w:val="en-US" w:eastAsia="zh-CN"/>
        </w:rPr>
        <w:t xml:space="preserve">项目主要经验及做法：项目按照年初预算资金组织并实施，加强年初预算项目的管理，提高项目资金预算的准确性。我单位按照《行政事业单位内部控制规范》《会计工作基础规范》的要求，结合自身实际情况建立健全各部门、各环节、各岗位内部控制制度，并确保制度能够长期有效的坚持执行。项目支出要附有专项预算报告，保证了项目资金使用的合规、有效。 </w:t>
      </w:r>
    </w:p>
    <w:p w14:paraId="70E861D0">
      <w:pPr>
        <w:spacing w:line="360" w:lineRule="auto"/>
        <w:ind w:firstLine="560"/>
        <w:rPr>
          <w:rFonts w:hint="eastAsia" w:ascii="仿宋_GB2312"/>
          <w:color w:val="auto"/>
          <w:highlight w:val="none"/>
          <w:lang w:val="en-US" w:eastAsia="zh-CN"/>
        </w:rPr>
      </w:pPr>
      <w:r>
        <w:rPr>
          <w:rFonts w:hint="eastAsia" w:ascii="仿宋_GB2312"/>
          <w:color w:val="auto"/>
          <w:highlight w:val="none"/>
          <w:lang w:val="en-US" w:eastAsia="zh-CN"/>
        </w:rPr>
        <w:t xml:space="preserve">项目存在的主要问题：一是预算编制科学性不足。预算与实际需求脱节，因前期调研不足，对社区开展群众活动、购买办公耗材等需求预估过高，对化解社区历年欠款需求预估过低。二是因项目资金以区级财政投入为主，而当前区级财政资金压力大，导致预算执行率未达到100%。我单位当前还需要完善内部控制体系建设，建立项目的绩效跟踪机制，对项目执行进情况行督促落实，确保财政资金发挥最大效益。 </w:t>
      </w:r>
    </w:p>
    <w:p w14:paraId="13FBCE69">
      <w:pPr>
        <w:pStyle w:val="3"/>
        <w:ind w:firstLine="643"/>
        <w:rPr>
          <w:rFonts w:ascii="仿宋" w:hAnsi="仿宋" w:eastAsia="仿宋"/>
          <w:color w:val="auto"/>
          <w:highlight w:val="none"/>
          <w:lang w:bidi="en-US"/>
        </w:rPr>
      </w:pPr>
      <w:bookmarkStart w:id="17" w:name="_Toc196487543"/>
      <w:bookmarkStart w:id="18" w:name="_Toc67911606"/>
      <w:bookmarkStart w:id="19" w:name="_Hlk67586765"/>
      <w:r>
        <w:rPr>
          <w:rFonts w:hint="eastAsia" w:ascii="仿宋" w:hAnsi="仿宋" w:eastAsia="仿宋"/>
          <w:color w:val="auto"/>
          <w:highlight w:val="none"/>
          <w:lang w:bidi="en-US"/>
        </w:rPr>
        <w:t>（二）绩效评价原则、指标体系、方法及标准</w:t>
      </w:r>
      <w:bookmarkEnd w:id="17"/>
      <w:bookmarkEnd w:id="18"/>
      <w:bookmarkEnd w:id="19"/>
    </w:p>
    <w:p w14:paraId="1D14004A">
      <w:pPr>
        <w:pStyle w:val="4"/>
        <w:ind w:firstLine="643"/>
        <w:rPr>
          <w:color w:val="auto"/>
          <w:highlight w:val="none"/>
        </w:rPr>
      </w:pPr>
      <w:bookmarkStart w:id="20" w:name="_Toc196487544"/>
      <w:r>
        <w:rPr>
          <w:rFonts w:hint="eastAsia"/>
          <w:color w:val="auto"/>
          <w:highlight w:val="none"/>
        </w:rPr>
        <w:t>1</w:t>
      </w:r>
      <w:r>
        <w:rPr>
          <w:color w:val="auto"/>
          <w:highlight w:val="none"/>
        </w:rPr>
        <w:t>.</w:t>
      </w:r>
      <w:r>
        <w:rPr>
          <w:rFonts w:hint="eastAsia"/>
          <w:color w:val="auto"/>
          <w:highlight w:val="none"/>
        </w:rPr>
        <w:t>评价原则</w:t>
      </w:r>
      <w:bookmarkEnd w:id="20"/>
    </w:p>
    <w:p w14:paraId="163C9C22">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（一）科学公正。绩效评价应当运用科学合理的方法，按照规范的程序，对项目绩效进行客观、公正的反映。</w:t>
      </w:r>
    </w:p>
    <w:p w14:paraId="438E5D31">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315FE744">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（三）激励约束。绩效评价结果应与预算安排、政策调整、改进管理实质性挂钩，体现奖优罚劣和激励相容导向，有效要安排、低效要压减、无效要问责。</w:t>
      </w:r>
    </w:p>
    <w:p w14:paraId="4268CA39">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（四）公开透明。绩效评价结果应依法依规公开，并自觉接受社会监督。</w:t>
      </w:r>
    </w:p>
    <w:p w14:paraId="2AC4DD56">
      <w:pPr>
        <w:pStyle w:val="4"/>
        <w:ind w:firstLine="643"/>
        <w:rPr>
          <w:color w:val="auto"/>
          <w:highlight w:val="none"/>
        </w:rPr>
      </w:pPr>
      <w:bookmarkStart w:id="21" w:name="_Toc196487545"/>
      <w:r>
        <w:rPr>
          <w:color w:val="auto"/>
          <w:highlight w:val="none"/>
        </w:rPr>
        <w:t>2.</w:t>
      </w:r>
      <w:r>
        <w:rPr>
          <w:rFonts w:hint="eastAsia"/>
          <w:color w:val="auto"/>
          <w:highlight w:val="none"/>
        </w:rPr>
        <w:t>评价指标体系</w:t>
      </w:r>
      <w:bookmarkEnd w:id="21"/>
    </w:p>
    <w:p w14:paraId="41E625E5">
      <w:pPr>
        <w:spacing w:line="360" w:lineRule="auto"/>
        <w:ind w:firstLine="560"/>
        <w:rPr>
          <w:rFonts w:ascii="仿宋_GB2312"/>
          <w:color w:val="auto"/>
          <w:highlight w:val="none"/>
        </w:rPr>
      </w:pPr>
      <w:r>
        <w:rPr>
          <w:rFonts w:hint="eastAsia" w:ascii="仿宋_GB2312"/>
          <w:color w:val="auto"/>
          <w:highlight w:val="none"/>
        </w:rPr>
        <w:t>绩效评价指标体系作为衡量绩效目标实现程度的考核工具，一般遵循以下原则：</w:t>
      </w:r>
    </w:p>
    <w:p w14:paraId="71291D7E">
      <w:pPr>
        <w:spacing w:line="360" w:lineRule="auto"/>
        <w:ind w:firstLine="560"/>
        <w:rPr>
          <w:rFonts w:ascii="仿宋_GB2312"/>
          <w:color w:val="auto"/>
          <w:highlight w:val="none"/>
        </w:rPr>
      </w:pPr>
      <w:r>
        <w:rPr>
          <w:rFonts w:hint="eastAsia" w:ascii="仿宋_GB2312"/>
          <w:color w:val="auto"/>
          <w:highlight w:val="none"/>
        </w:rPr>
        <w:t>（1）相关性原则：绩效评价指标应当与绩效目标有直接的联系，能够恰当反映目标的实现程度。</w:t>
      </w:r>
    </w:p>
    <w:p w14:paraId="7F204ABE">
      <w:pPr>
        <w:spacing w:line="360" w:lineRule="auto"/>
        <w:ind w:firstLine="560"/>
        <w:rPr>
          <w:rFonts w:ascii="仿宋_GB2312"/>
          <w:color w:val="auto"/>
          <w:highlight w:val="none"/>
        </w:rPr>
      </w:pPr>
      <w:r>
        <w:rPr>
          <w:rFonts w:hint="eastAsia" w:ascii="仿宋_GB2312"/>
          <w:color w:val="auto"/>
          <w:highlight w:val="none"/>
        </w:rPr>
        <w:t>（2）重要性原则：应当优先使用最具评价对象代表性、最能反映评价要求的核心指标。</w:t>
      </w:r>
    </w:p>
    <w:p w14:paraId="57581A3C">
      <w:pPr>
        <w:spacing w:line="360" w:lineRule="auto"/>
        <w:ind w:firstLine="560"/>
        <w:rPr>
          <w:rFonts w:ascii="仿宋_GB2312"/>
          <w:color w:val="auto"/>
          <w:highlight w:val="none"/>
        </w:rPr>
      </w:pPr>
      <w:r>
        <w:rPr>
          <w:rFonts w:hint="eastAsia" w:ascii="仿宋_GB2312"/>
          <w:color w:val="auto"/>
          <w:highlight w:val="none"/>
        </w:rPr>
        <w:t>（3）可比性原则：对同类评价对象要设定共性的绩效评价指标，以便于评价结果可以相互比较。</w:t>
      </w:r>
    </w:p>
    <w:p w14:paraId="07E46D38">
      <w:pPr>
        <w:spacing w:line="360" w:lineRule="auto"/>
        <w:ind w:firstLine="560"/>
        <w:rPr>
          <w:rFonts w:ascii="仿宋_GB2312"/>
          <w:color w:val="auto"/>
          <w:highlight w:val="none"/>
        </w:rPr>
      </w:pPr>
      <w:r>
        <w:rPr>
          <w:rFonts w:hint="eastAsia" w:ascii="仿宋_GB2312"/>
          <w:color w:val="auto"/>
          <w:highlight w:val="none"/>
        </w:rPr>
        <w:t>（4）系统性原则：绩效评价指标的设置应当将定量指标与定性指标相结合，能系统反映财政支出所产生的社会效益、经济效益和可持续影响等。</w:t>
      </w:r>
    </w:p>
    <w:p w14:paraId="5192CDF3">
      <w:pPr>
        <w:spacing w:line="360" w:lineRule="auto"/>
        <w:ind w:firstLine="560"/>
        <w:rPr>
          <w:rFonts w:ascii="仿宋_GB2312"/>
          <w:color w:val="auto"/>
          <w:highlight w:val="none"/>
        </w:rPr>
      </w:pPr>
      <w:r>
        <w:rPr>
          <w:rFonts w:hint="eastAsia" w:ascii="仿宋_GB2312"/>
          <w:color w:val="auto"/>
          <w:highlight w:val="none"/>
        </w:rPr>
        <w:t>（5）经济性原则：绩效评价指标设计应当通俗易懂、简便易行，数据的获得应当考虑现实条件和可操作性，符合成本效益原则。</w:t>
      </w:r>
    </w:p>
    <w:p w14:paraId="2F00F2C6">
      <w:pPr>
        <w:spacing w:line="360" w:lineRule="auto"/>
        <w:ind w:firstLine="560"/>
        <w:rPr>
          <w:rFonts w:hint="eastAsia" w:ascii="仿宋_GB2312"/>
          <w:color w:val="auto"/>
          <w:highlight w:val="none"/>
        </w:rPr>
      </w:pPr>
      <w:r>
        <w:rPr>
          <w:rFonts w:hint="eastAsia" w:ascii="仿宋_GB2312"/>
          <w:color w:val="auto"/>
          <w:highlight w:val="none"/>
        </w:rPr>
        <w:t>本项目的评价指标体系建立如下表所示。</w:t>
      </w:r>
    </w:p>
    <w:p w14:paraId="287BE61E">
      <w:pPr>
        <w:spacing w:line="360" w:lineRule="auto"/>
        <w:ind w:firstLine="560"/>
        <w:rPr>
          <w:rFonts w:hint="eastAsia" w:ascii="仿宋_GB2312"/>
          <w:color w:val="auto"/>
          <w:highlight w:val="none"/>
        </w:rPr>
      </w:pPr>
    </w:p>
    <w:p w14:paraId="11B084D3">
      <w:pPr>
        <w:spacing w:line="360" w:lineRule="auto"/>
        <w:ind w:firstLine="560"/>
        <w:rPr>
          <w:rFonts w:ascii="仿宋_GB2312"/>
          <w:color w:val="auto"/>
          <w:highlight w:val="none"/>
        </w:rPr>
      </w:pPr>
    </w:p>
    <w:p w14:paraId="344BE617">
      <w:pPr>
        <w:spacing w:line="360" w:lineRule="auto"/>
        <w:ind w:firstLine="560"/>
        <w:rPr>
          <w:rFonts w:ascii="仿宋_GB2312"/>
          <w:color w:val="auto"/>
          <w:highlight w:val="none"/>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14:paraId="3A95FEBA">
      <w:pPr>
        <w:spacing w:line="360" w:lineRule="auto"/>
        <w:ind w:firstLine="0" w:firstLineChars="0"/>
        <w:jc w:val="center"/>
        <w:rPr>
          <w:rFonts w:ascii="仿宋_GB2312"/>
          <w:b/>
          <w:bCs/>
          <w:color w:val="auto"/>
          <w:highlight w:val="none"/>
        </w:rPr>
      </w:pPr>
      <w:r>
        <w:rPr>
          <w:rFonts w:ascii="仿宋_GB2312"/>
          <w:b/>
          <w:bCs/>
          <w:color w:val="auto"/>
          <w:highlight w:val="none"/>
        </w:rPr>
        <w:t xml:space="preserve">  </w:t>
      </w:r>
      <w:r>
        <w:rPr>
          <w:rFonts w:hint="eastAsia" w:ascii="仿宋_GB2312"/>
          <w:b/>
          <w:bCs/>
          <w:color w:val="auto"/>
          <w:highlight w:val="none"/>
        </w:rPr>
        <w:t>项目支出绩效评价指标体系</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14:paraId="2397F4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2375BFA6">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一级指标</w:t>
            </w:r>
          </w:p>
        </w:tc>
        <w:tc>
          <w:tcPr>
            <w:tcW w:w="1199" w:type="dxa"/>
            <w:tcBorders>
              <w:tl2br w:val="nil"/>
              <w:tr2bl w:val="nil"/>
            </w:tcBorders>
            <w:shd w:val="clear" w:color="auto" w:fill="D0CECE"/>
            <w:vAlign w:val="center"/>
          </w:tcPr>
          <w:p w14:paraId="2B7F11B8">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二级指标</w:t>
            </w:r>
          </w:p>
        </w:tc>
        <w:tc>
          <w:tcPr>
            <w:tcW w:w="1411" w:type="dxa"/>
            <w:tcBorders>
              <w:tl2br w:val="nil"/>
              <w:tr2bl w:val="nil"/>
            </w:tcBorders>
            <w:shd w:val="clear" w:color="auto" w:fill="D0CECE"/>
            <w:vAlign w:val="center"/>
          </w:tcPr>
          <w:p w14:paraId="16AA95D4">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三级指标</w:t>
            </w:r>
          </w:p>
        </w:tc>
        <w:tc>
          <w:tcPr>
            <w:tcW w:w="2789" w:type="dxa"/>
            <w:tcBorders>
              <w:tl2br w:val="nil"/>
              <w:tr2bl w:val="nil"/>
            </w:tcBorders>
            <w:shd w:val="clear" w:color="auto" w:fill="D0CECE"/>
            <w:vAlign w:val="center"/>
          </w:tcPr>
          <w:p w14:paraId="266000E7">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指标解释</w:t>
            </w:r>
          </w:p>
        </w:tc>
        <w:tc>
          <w:tcPr>
            <w:tcW w:w="7341" w:type="dxa"/>
            <w:tcBorders>
              <w:tl2br w:val="nil"/>
              <w:tr2bl w:val="nil"/>
            </w:tcBorders>
            <w:shd w:val="clear" w:color="auto" w:fill="D0CECE"/>
            <w:vAlign w:val="center"/>
          </w:tcPr>
          <w:p w14:paraId="412BE9B8">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指标说明</w:t>
            </w:r>
          </w:p>
        </w:tc>
      </w:tr>
      <w:tr w14:paraId="6DF77F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2789BFD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vMerge w:val="restart"/>
            <w:tcBorders>
              <w:tl2br w:val="nil"/>
              <w:tr2bl w:val="nil"/>
            </w:tcBorders>
            <w:shd w:val="clear" w:color="auto" w:fill="FFFFFF"/>
            <w:vAlign w:val="center"/>
          </w:tcPr>
          <w:p w14:paraId="2C3089BE">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w:t>
            </w:r>
          </w:p>
        </w:tc>
        <w:tc>
          <w:tcPr>
            <w:tcW w:w="1411" w:type="dxa"/>
            <w:tcBorders>
              <w:tl2br w:val="nil"/>
              <w:tr2bl w:val="nil"/>
            </w:tcBorders>
            <w:shd w:val="clear" w:color="auto" w:fill="FFFFFF"/>
            <w:vAlign w:val="center"/>
          </w:tcPr>
          <w:p w14:paraId="009F3E8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立项依据</w:t>
            </w:r>
          </w:p>
          <w:p w14:paraId="49196FC1">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充分性</w:t>
            </w:r>
          </w:p>
        </w:tc>
        <w:tc>
          <w:tcPr>
            <w:tcW w:w="2789" w:type="dxa"/>
            <w:tcBorders>
              <w:tl2br w:val="nil"/>
              <w:tr2bl w:val="nil"/>
            </w:tcBorders>
            <w:shd w:val="clear" w:color="auto" w:fill="FFFFFF"/>
            <w:vAlign w:val="center"/>
          </w:tcPr>
          <w:p w14:paraId="68679FC9">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3E6A4FFD">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①项目立项是否符合国家法律法规、国民经济发展规划和相关政策；</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②项目立项是否符合行业发展规划和政策要求；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③项目立项是否与部门职责范围相符，</w:t>
            </w:r>
            <w:r>
              <w:rPr>
                <w:rFonts w:hint="eastAsia" w:ascii="宋体" w:hAnsi="宋体" w:eastAsia="宋体" w:cs="宋体"/>
                <w:color w:val="auto"/>
                <w:kern w:val="0"/>
                <w:sz w:val="22"/>
                <w:highlight w:val="none"/>
                <w:lang w:val="en-US" w:eastAsia="zh-CN"/>
              </w:rPr>
              <w:t>属于部门</w:t>
            </w:r>
            <w:r>
              <w:rPr>
                <w:rFonts w:hint="eastAsia" w:ascii="宋体" w:hAnsi="宋体" w:eastAsia="宋体" w:cs="宋体"/>
                <w:color w:val="auto"/>
                <w:kern w:val="0"/>
                <w:sz w:val="22"/>
                <w:highlight w:val="none"/>
              </w:rPr>
              <w:t>履职所需；</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④项目是否属于公共财政支持范围，是否符合中央、地方事权支出责任划分原则；</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⑤项目是否与相关部门同类项目或部门内部相关项目重复。</w:t>
            </w:r>
          </w:p>
        </w:tc>
      </w:tr>
      <w:tr w14:paraId="4C7828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11D5629D">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37DB55CE">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6567793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立项程序</w:t>
            </w:r>
          </w:p>
          <w:p w14:paraId="07C02A66">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规范性</w:t>
            </w:r>
          </w:p>
        </w:tc>
        <w:tc>
          <w:tcPr>
            <w:tcW w:w="2789" w:type="dxa"/>
            <w:tcBorders>
              <w:tl2br w:val="nil"/>
              <w:tr2bl w:val="nil"/>
            </w:tcBorders>
            <w:shd w:val="clear" w:color="auto" w:fill="FFFFFF"/>
            <w:vAlign w:val="center"/>
          </w:tcPr>
          <w:p w14:paraId="33FA61F0">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14:paraId="686E4C73">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①项目是否按照规定的程序申请设立；</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②审批文件、材料是否符合相关要求；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③事前是否已经过必要的可行性研究、专家论证、风险评估、绩效评估、集体决策。</w:t>
            </w:r>
          </w:p>
        </w:tc>
      </w:tr>
      <w:tr w14:paraId="60024C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317F9BE0">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14:paraId="7620A8A0">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14:paraId="3BF46425">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p w14:paraId="736B4E85">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000000" w:fill="FFFFFF"/>
            <w:vAlign w:val="center"/>
          </w:tcPr>
          <w:p w14:paraId="7681F304">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425684E">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（如未设定预算绩效目标，也可考核其他工作任务目标）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①项目是否有绩效目标；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②项目绩效目标与实际工作内容是否具有相关性；</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③项目预期产出效益和效果是否符合正常的业绩水平；</w:t>
            </w:r>
          </w:p>
          <w:p w14:paraId="539D3A55">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④是否与预算确定的项目投资额或资金量相匹配。</w:t>
            </w:r>
          </w:p>
        </w:tc>
      </w:tr>
      <w:tr w14:paraId="0852CB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12937826">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tcBorders>
              <w:tl2br w:val="nil"/>
              <w:tr2bl w:val="nil"/>
            </w:tcBorders>
            <w:shd w:val="clear" w:color="auto" w:fill="FFFFFF"/>
            <w:vAlign w:val="center"/>
          </w:tcPr>
          <w:p w14:paraId="4586626A">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14:paraId="4CAC3BF0">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绩效指标</w:t>
            </w:r>
          </w:p>
          <w:p w14:paraId="76B387B5">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明确性</w:t>
            </w:r>
          </w:p>
        </w:tc>
        <w:tc>
          <w:tcPr>
            <w:tcW w:w="2789" w:type="dxa"/>
            <w:tcBorders>
              <w:tl2br w:val="nil"/>
              <w:tr2bl w:val="nil"/>
            </w:tcBorders>
            <w:shd w:val="clear" w:color="000000" w:fill="FFFFFF"/>
            <w:vAlign w:val="center"/>
          </w:tcPr>
          <w:p w14:paraId="58541157">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0255461D">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①是否将项目绩效目标细化分解为具体的绩效指标；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②是否通过清晰、可衡量的指标值予以体现；</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③是否与项目目标任务数或计划数相对应。</w:t>
            </w:r>
            <w:r>
              <w:rPr>
                <w:rFonts w:hint="eastAsia" w:ascii="宋体" w:hAnsi="宋体" w:eastAsia="宋体" w:cs="宋体"/>
                <w:color w:val="auto"/>
                <w:kern w:val="0"/>
                <w:sz w:val="22"/>
                <w:highlight w:val="none"/>
              </w:rPr>
              <w:br w:type="textWrapping"/>
            </w:r>
          </w:p>
        </w:tc>
      </w:tr>
      <w:tr w14:paraId="069223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474C8682">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14:paraId="69EBD41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资金投入</w:t>
            </w:r>
          </w:p>
        </w:tc>
        <w:tc>
          <w:tcPr>
            <w:tcW w:w="1411" w:type="dxa"/>
            <w:tcBorders>
              <w:tl2br w:val="nil"/>
              <w:tr2bl w:val="nil"/>
            </w:tcBorders>
            <w:shd w:val="clear" w:color="auto" w:fill="FFFFFF"/>
            <w:vAlign w:val="center"/>
          </w:tcPr>
          <w:p w14:paraId="54BB9690">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预算编制</w:t>
            </w:r>
          </w:p>
          <w:p w14:paraId="4FA6EEA6">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科学性</w:t>
            </w:r>
          </w:p>
        </w:tc>
        <w:tc>
          <w:tcPr>
            <w:tcW w:w="2789" w:type="dxa"/>
            <w:tcBorders>
              <w:tl2br w:val="nil"/>
              <w:tr2bl w:val="nil"/>
            </w:tcBorders>
            <w:shd w:val="clear" w:color="auto" w:fill="FFFFFF"/>
            <w:vAlign w:val="center"/>
          </w:tcPr>
          <w:p w14:paraId="0D4562A1">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616D651">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①预算编制是否经过科学论证；</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②预算内容与项目内容是否匹配；</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③预算额度测算依据是否充分，是否按照标准编制；</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④预算确定的项目投资额或资金量是否与工作任务相匹配。</w:t>
            </w:r>
          </w:p>
        </w:tc>
      </w:tr>
      <w:tr w14:paraId="2E9CDF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56C6EB31">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4C0FE924">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3036C2A9">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资金分配</w:t>
            </w:r>
          </w:p>
          <w:p w14:paraId="7E4251BA">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auto" w:fill="FFFFFF"/>
            <w:vAlign w:val="center"/>
          </w:tcPr>
          <w:p w14:paraId="2E8E5F5D">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5CB8F914">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①预算资金分配依据是否充分；</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②资金分配额度是否合理，与项目单位或地方实际是否相适应。</w:t>
            </w:r>
          </w:p>
        </w:tc>
      </w:tr>
      <w:tr w14:paraId="1313DA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7A3689BD">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vMerge w:val="restart"/>
            <w:tcBorders>
              <w:tl2br w:val="nil"/>
              <w:tr2bl w:val="nil"/>
            </w:tcBorders>
            <w:shd w:val="clear" w:color="auto" w:fill="FFFFFF"/>
            <w:vAlign w:val="center"/>
          </w:tcPr>
          <w:p w14:paraId="0D11592F">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14:paraId="441F347D">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w:t>
            </w:r>
          </w:p>
        </w:tc>
        <w:tc>
          <w:tcPr>
            <w:tcW w:w="2789" w:type="dxa"/>
            <w:tcBorders>
              <w:tl2br w:val="nil"/>
              <w:tr2bl w:val="nil"/>
            </w:tcBorders>
            <w:shd w:val="clear" w:color="000000" w:fill="FFFFFF"/>
            <w:vAlign w:val="center"/>
          </w:tcPr>
          <w:p w14:paraId="2307E5F5">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E465AE1">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资金到位率=（实际到位资金/预算资金）×100%。</w:t>
            </w:r>
          </w:p>
          <w:p w14:paraId="4CC8D151">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实际到位资金：一定时期（本年度或项目期）内落实到具体项目的资金。</w:t>
            </w:r>
          </w:p>
          <w:p w14:paraId="7F67C2A3">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预算资金：一定时期（本年度或项目期）内预算安排到具体项目的资金。</w:t>
            </w:r>
          </w:p>
        </w:tc>
      </w:tr>
      <w:tr w14:paraId="71547A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2B8A1B36">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5E59FAA7">
            <w:pPr>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16104D67">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w:t>
            </w:r>
          </w:p>
        </w:tc>
        <w:tc>
          <w:tcPr>
            <w:tcW w:w="2789" w:type="dxa"/>
            <w:tcBorders>
              <w:tl2br w:val="nil"/>
              <w:tr2bl w:val="nil"/>
            </w:tcBorders>
            <w:shd w:val="clear" w:color="auto" w:fill="FFFFFF"/>
            <w:vAlign w:val="center"/>
          </w:tcPr>
          <w:p w14:paraId="1CAC36E2">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14:paraId="16C27ED8">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预算执行率=（实际支出资金/实际到位资金）×100%。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实际支出资金：一定时期（本年度或项目期）内项目实际拨付的资金。</w:t>
            </w:r>
          </w:p>
        </w:tc>
      </w:tr>
      <w:tr w14:paraId="3FC0FB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557F4818">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tcBorders>
              <w:tl2br w:val="nil"/>
              <w:tr2bl w:val="nil"/>
            </w:tcBorders>
            <w:shd w:val="clear" w:color="auto" w:fill="FFFFFF"/>
            <w:vAlign w:val="center"/>
          </w:tcPr>
          <w:p w14:paraId="287CDDD6">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14:paraId="0E0FD8D5">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资金使用</w:t>
            </w:r>
          </w:p>
          <w:p w14:paraId="1304BDFD">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合规性</w:t>
            </w:r>
          </w:p>
        </w:tc>
        <w:tc>
          <w:tcPr>
            <w:tcW w:w="2789" w:type="dxa"/>
            <w:tcBorders>
              <w:tl2br w:val="nil"/>
              <w:tr2bl w:val="nil"/>
            </w:tcBorders>
            <w:shd w:val="clear" w:color="000000" w:fill="FFFFFF"/>
            <w:vAlign w:val="center"/>
          </w:tcPr>
          <w:p w14:paraId="24AC7D91">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6C5DF02C">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①是否符合国家财经法规和财务管理制度以及有关专项资金管理办法的规定；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②资金的拨付是否有完整的审批程序和手续；</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③是否符合项目预算批复或合同规定的用途；</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④是否存在截留、挤占、挪用、虚列支出等情况。</w:t>
            </w:r>
          </w:p>
        </w:tc>
      </w:tr>
      <w:tr w14:paraId="6AE2D4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07851462">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14:paraId="595E0597">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组织实施</w:t>
            </w:r>
          </w:p>
        </w:tc>
        <w:tc>
          <w:tcPr>
            <w:tcW w:w="1411" w:type="dxa"/>
            <w:tcBorders>
              <w:tl2br w:val="nil"/>
              <w:tr2bl w:val="nil"/>
            </w:tcBorders>
            <w:shd w:val="clear" w:color="auto" w:fill="FFFFFF"/>
            <w:vAlign w:val="center"/>
          </w:tcPr>
          <w:p w14:paraId="2A2BA65D">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管理制度</w:t>
            </w:r>
          </w:p>
          <w:p w14:paraId="502EAEC0">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健全性</w:t>
            </w:r>
          </w:p>
        </w:tc>
        <w:tc>
          <w:tcPr>
            <w:tcW w:w="2789" w:type="dxa"/>
            <w:tcBorders>
              <w:tl2br w:val="nil"/>
              <w:tr2bl w:val="nil"/>
            </w:tcBorders>
            <w:shd w:val="clear" w:color="000000" w:fill="FFFFFF"/>
            <w:vAlign w:val="center"/>
          </w:tcPr>
          <w:p w14:paraId="4D922C63">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744D89C2">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①是否已制定或具有相应的财务和业务管理制度；</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②财务和业务管理制度是否合法、合规、完整。</w:t>
            </w:r>
          </w:p>
        </w:tc>
      </w:tr>
      <w:tr w14:paraId="643410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693BAA95">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06583C33">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11A6334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制度执行</w:t>
            </w:r>
          </w:p>
          <w:p w14:paraId="4B94C1FC">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有效性</w:t>
            </w:r>
          </w:p>
        </w:tc>
        <w:tc>
          <w:tcPr>
            <w:tcW w:w="2789" w:type="dxa"/>
            <w:tcBorders>
              <w:tl2br w:val="nil"/>
              <w:tr2bl w:val="nil"/>
            </w:tcBorders>
            <w:shd w:val="clear" w:color="000000" w:fill="FFFFFF"/>
            <w:vAlign w:val="center"/>
          </w:tcPr>
          <w:p w14:paraId="68987F4E">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3081BE2">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①是否遵守相关法律法规和相关管理规定；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②项目调整及支出调整手续是否完备；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③项目合同书、验收报告、技术鉴定等资料是否齐全并及时归档；</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④项目实施的人员条件、场地设备、信息支撑等是否落实到位。</w:t>
            </w:r>
          </w:p>
        </w:tc>
      </w:tr>
      <w:tr w14:paraId="3A385C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7FD40AC4">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lang w:val="en-US" w:eastAsia="zh-CN"/>
              </w:rPr>
              <w:t>产出</w:t>
            </w:r>
          </w:p>
        </w:tc>
        <w:tc>
          <w:tcPr>
            <w:tcW w:w="1199" w:type="dxa"/>
            <w:vMerge w:val="restart"/>
            <w:tcBorders>
              <w:tl2br w:val="nil"/>
              <w:tr2bl w:val="nil"/>
            </w:tcBorders>
            <w:shd w:val="clear" w:color="auto" w:fill="FFFFFF"/>
            <w:vAlign w:val="center"/>
          </w:tcPr>
          <w:p w14:paraId="50427969">
            <w:pPr>
              <w:widowControl/>
              <w:ind w:firstLine="0" w:firstLineChars="0"/>
              <w:jc w:val="center"/>
              <w:rPr>
                <w:rFonts w:hint="eastAsia"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产出数量</w:t>
            </w:r>
          </w:p>
        </w:tc>
        <w:tc>
          <w:tcPr>
            <w:tcW w:w="1411" w:type="dxa"/>
            <w:tcBorders>
              <w:tl2br w:val="nil"/>
              <w:tr2bl w:val="nil"/>
            </w:tcBorders>
            <w:shd w:val="clear" w:color="auto" w:fill="FFFFFF"/>
          </w:tcPr>
          <w:p w14:paraId="49891D43">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社区数量</w:t>
            </w:r>
          </w:p>
        </w:tc>
        <w:tc>
          <w:tcPr>
            <w:tcW w:w="2789" w:type="dxa"/>
            <w:vMerge w:val="restart"/>
            <w:tcBorders>
              <w:tl2br w:val="nil"/>
              <w:tr2bl w:val="nil"/>
            </w:tcBorders>
            <w:shd w:val="clear" w:color="000000" w:fill="FFFFFF"/>
            <w:vAlign w:val="center"/>
          </w:tcPr>
          <w:p w14:paraId="7597580C">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21D755CC">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实际完成率=（实际产出数/计划产出数）×100%。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实际产出数：一定时期（本年度或项目期）内项目实际产出的产品或提供的服务数量。</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计划产出数：项目绩效目标确定的在一定时期（本年度或项目期）内计划产出的产品或提供的服务数量。</w:t>
            </w:r>
          </w:p>
        </w:tc>
      </w:tr>
      <w:tr w14:paraId="703808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1888235B">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14E87F94">
            <w:pPr>
              <w:widowControl/>
              <w:ind w:firstLine="0" w:firstLineChars="0"/>
              <w:jc w:val="center"/>
              <w:rPr>
                <w:rFonts w:hint="eastAsia" w:ascii="宋体" w:hAnsi="宋体" w:eastAsia="宋体" w:cs="宋体"/>
                <w:color w:val="auto"/>
                <w:kern w:val="0"/>
                <w:sz w:val="22"/>
                <w:highlight w:val="none"/>
                <w:lang w:val="en-US" w:eastAsia="zh-CN"/>
              </w:rPr>
            </w:pPr>
          </w:p>
        </w:tc>
        <w:tc>
          <w:tcPr>
            <w:tcW w:w="1411" w:type="dxa"/>
            <w:tcBorders>
              <w:tl2br w:val="nil"/>
              <w:tr2bl w:val="nil"/>
            </w:tcBorders>
            <w:shd w:val="clear" w:color="auto" w:fill="FFFFFF"/>
          </w:tcPr>
          <w:p w14:paraId="542380F4">
            <w:pPr>
              <w:widowControl/>
              <w:ind w:firstLine="0" w:firstLineChars="0"/>
              <w:jc w:val="center"/>
              <w:rPr>
                <w:rFonts w:hint="eastAsia"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开展群众活动次数</w:t>
            </w:r>
          </w:p>
        </w:tc>
        <w:tc>
          <w:tcPr>
            <w:tcW w:w="2789" w:type="dxa"/>
            <w:vMerge w:val="continue"/>
            <w:tcBorders>
              <w:tl2br w:val="nil"/>
              <w:tr2bl w:val="nil"/>
            </w:tcBorders>
            <w:shd w:val="clear" w:color="000000" w:fill="FFFFFF"/>
            <w:vAlign w:val="center"/>
          </w:tcPr>
          <w:p w14:paraId="2C029384">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3D0749A8">
            <w:pPr>
              <w:widowControl/>
              <w:ind w:firstLine="0" w:firstLineChars="0"/>
              <w:rPr>
                <w:rFonts w:ascii="宋体" w:hAnsi="宋体" w:eastAsia="宋体" w:cs="宋体"/>
                <w:color w:val="auto"/>
                <w:kern w:val="0"/>
                <w:sz w:val="22"/>
                <w:highlight w:val="none"/>
              </w:rPr>
            </w:pPr>
          </w:p>
        </w:tc>
      </w:tr>
      <w:tr w14:paraId="2EEBBE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14:paraId="3B2D80C7">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6984C3BF">
            <w:pPr>
              <w:widowControl/>
              <w:ind w:firstLine="0" w:firstLineChars="0"/>
              <w:jc w:val="center"/>
              <w:rPr>
                <w:rFonts w:hint="eastAsia" w:ascii="宋体" w:hAnsi="宋体" w:eastAsia="宋体" w:cs="宋体"/>
                <w:color w:val="auto"/>
                <w:kern w:val="0"/>
                <w:sz w:val="22"/>
                <w:highlight w:val="none"/>
                <w:lang w:val="en-US" w:eastAsia="zh-CN"/>
              </w:rPr>
            </w:pPr>
          </w:p>
        </w:tc>
        <w:tc>
          <w:tcPr>
            <w:tcW w:w="1411" w:type="dxa"/>
            <w:tcBorders>
              <w:tl2br w:val="nil"/>
              <w:tr2bl w:val="nil"/>
            </w:tcBorders>
            <w:shd w:val="clear" w:color="auto" w:fill="FFFFFF"/>
          </w:tcPr>
          <w:p w14:paraId="3AA87B2E">
            <w:pPr>
              <w:widowControl/>
              <w:ind w:firstLine="0" w:firstLineChars="0"/>
              <w:jc w:val="center"/>
              <w:rPr>
                <w:rFonts w:hint="eastAsia"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社区购买办公耗材数量</w:t>
            </w:r>
          </w:p>
        </w:tc>
        <w:tc>
          <w:tcPr>
            <w:tcW w:w="2789" w:type="dxa"/>
            <w:vMerge w:val="continue"/>
            <w:tcBorders>
              <w:tl2br w:val="nil"/>
              <w:tr2bl w:val="nil"/>
            </w:tcBorders>
            <w:shd w:val="clear" w:color="000000" w:fill="FFFFFF"/>
            <w:vAlign w:val="center"/>
          </w:tcPr>
          <w:p w14:paraId="4EC8FE59">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25C1BB32">
            <w:pPr>
              <w:widowControl/>
              <w:ind w:firstLine="0" w:firstLineChars="0"/>
              <w:rPr>
                <w:rFonts w:ascii="宋体" w:hAnsi="宋体" w:eastAsia="宋体" w:cs="宋体"/>
                <w:color w:val="auto"/>
                <w:kern w:val="0"/>
                <w:sz w:val="22"/>
                <w:highlight w:val="none"/>
              </w:rPr>
            </w:pPr>
          </w:p>
        </w:tc>
      </w:tr>
      <w:tr w14:paraId="5FDA69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14:paraId="2C6E55D6">
            <w:pPr>
              <w:widowControl/>
              <w:ind w:firstLine="0" w:firstLineChars="0"/>
              <w:jc w:val="center"/>
              <w:rPr>
                <w:color w:val="auto"/>
                <w:highlight w:val="none"/>
              </w:rPr>
            </w:pPr>
          </w:p>
        </w:tc>
        <w:tc>
          <w:tcPr>
            <w:tcW w:w="1199" w:type="dxa"/>
            <w:vMerge w:val="continue"/>
            <w:tcBorders>
              <w:tl2br w:val="nil"/>
              <w:tr2bl w:val="nil"/>
            </w:tcBorders>
            <w:shd w:val="clear" w:color="auto" w:fill="FFFFFF"/>
            <w:vAlign w:val="center"/>
          </w:tcPr>
          <w:p w14:paraId="308BAE65">
            <w:pPr>
              <w:widowControl/>
              <w:ind w:firstLine="0" w:firstLineChars="0"/>
              <w:jc w:val="center"/>
              <w:rPr>
                <w:color w:val="auto"/>
                <w:highlight w:val="none"/>
              </w:rPr>
            </w:pPr>
          </w:p>
        </w:tc>
        <w:tc>
          <w:tcPr>
            <w:tcW w:w="1411" w:type="dxa"/>
            <w:tcBorders>
              <w:tl2br w:val="nil"/>
              <w:tr2bl w:val="nil"/>
            </w:tcBorders>
            <w:shd w:val="clear" w:color="auto" w:fill="FFFFFF"/>
          </w:tcPr>
          <w:p w14:paraId="3EE17E08">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社区化解欠款类型</w:t>
            </w:r>
          </w:p>
        </w:tc>
        <w:tc>
          <w:tcPr>
            <w:tcW w:w="2789" w:type="dxa"/>
            <w:vMerge w:val="continue"/>
            <w:tcBorders>
              <w:tl2br w:val="nil"/>
              <w:tr2bl w:val="nil"/>
            </w:tcBorders>
            <w:shd w:val="clear" w:color="000000" w:fill="FFFFFF"/>
            <w:vAlign w:val="center"/>
          </w:tcPr>
          <w:p w14:paraId="160BC68F">
            <w:pPr>
              <w:widowControl/>
              <w:ind w:firstLine="0" w:firstLineChars="0"/>
              <w:jc w:val="center"/>
              <w:rPr>
                <w:rFonts w:hint="eastAsia" w:ascii="宋体" w:hAnsi="宋体" w:eastAsia="宋体" w:cs="宋体"/>
                <w:color w:val="auto"/>
                <w:kern w:val="0"/>
                <w:sz w:val="22"/>
                <w:highlight w:val="none"/>
                <w:lang w:val="en-US" w:eastAsia="zh-CN"/>
              </w:rPr>
            </w:pPr>
          </w:p>
        </w:tc>
        <w:tc>
          <w:tcPr>
            <w:tcW w:w="7341" w:type="dxa"/>
            <w:vMerge w:val="continue"/>
            <w:tcBorders>
              <w:tl2br w:val="nil"/>
              <w:tr2bl w:val="nil"/>
            </w:tcBorders>
            <w:shd w:val="clear" w:color="000000" w:fill="FFFFFF"/>
            <w:vAlign w:val="center"/>
          </w:tcPr>
          <w:p w14:paraId="57A35CD8">
            <w:pPr>
              <w:widowControl/>
              <w:ind w:firstLine="0" w:firstLineChars="0"/>
              <w:jc w:val="center"/>
              <w:rPr>
                <w:rFonts w:hint="eastAsia" w:ascii="宋体" w:hAnsi="宋体" w:eastAsia="宋体" w:cs="宋体"/>
                <w:color w:val="auto"/>
                <w:kern w:val="0"/>
                <w:sz w:val="22"/>
                <w:highlight w:val="none"/>
                <w:lang w:val="en-US" w:eastAsia="zh-CN"/>
              </w:rPr>
            </w:pPr>
          </w:p>
        </w:tc>
      </w:tr>
      <w:tr w14:paraId="3C404F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38" w:hRule="atLeast"/>
          <w:jc w:val="center"/>
        </w:trPr>
        <w:tc>
          <w:tcPr>
            <w:tcW w:w="1155" w:type="dxa"/>
            <w:vMerge w:val="restart"/>
            <w:tcBorders>
              <w:tl2br w:val="nil"/>
              <w:tr2bl w:val="nil"/>
            </w:tcBorders>
            <w:shd w:val="clear" w:color="auto" w:fill="FFFFFF"/>
            <w:vAlign w:val="center"/>
          </w:tcPr>
          <w:p w14:paraId="26A722FD">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lang w:val="en-US" w:eastAsia="zh-CN"/>
              </w:rPr>
              <w:t>产出</w:t>
            </w:r>
          </w:p>
        </w:tc>
        <w:tc>
          <w:tcPr>
            <w:tcW w:w="1199" w:type="dxa"/>
            <w:vMerge w:val="restart"/>
            <w:tcBorders>
              <w:tl2br w:val="nil"/>
              <w:tr2bl w:val="nil"/>
            </w:tcBorders>
            <w:shd w:val="clear" w:color="auto" w:fill="FFFFFF"/>
            <w:vAlign w:val="center"/>
          </w:tcPr>
          <w:p w14:paraId="4A77B2E4">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lang w:val="en-US" w:eastAsia="zh-CN"/>
              </w:rPr>
              <w:t>产出质量</w:t>
            </w:r>
          </w:p>
        </w:tc>
        <w:tc>
          <w:tcPr>
            <w:tcW w:w="1411" w:type="dxa"/>
            <w:tcBorders>
              <w:tl2br w:val="nil"/>
              <w:tr2bl w:val="nil"/>
            </w:tcBorders>
            <w:shd w:val="clear" w:color="auto" w:fill="FFFFFF"/>
            <w:vAlign w:val="center"/>
          </w:tcPr>
          <w:p w14:paraId="3133FF34">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社区工作正常开展率</w:t>
            </w:r>
          </w:p>
        </w:tc>
        <w:tc>
          <w:tcPr>
            <w:tcW w:w="2789" w:type="dxa"/>
            <w:vMerge w:val="restart"/>
            <w:tcBorders>
              <w:tl2br w:val="nil"/>
              <w:tr2bl w:val="nil"/>
            </w:tcBorders>
            <w:shd w:val="clear" w:color="000000" w:fill="FFFFFF"/>
            <w:vAlign w:val="center"/>
          </w:tcPr>
          <w:p w14:paraId="45FBABE8">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74C82C7E">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质量达标率=（质量达标产出数/实际产出数）×100%。</w:t>
            </w:r>
          </w:p>
          <w:p w14:paraId="7996711C">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05A30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7F2364BE">
            <w:pPr>
              <w:widowControl/>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14:paraId="6594ADE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lang w:val="en-US" w:eastAsia="zh-CN"/>
              </w:rPr>
              <w:t>产出成本</w:t>
            </w:r>
          </w:p>
        </w:tc>
        <w:tc>
          <w:tcPr>
            <w:tcW w:w="1411" w:type="dxa"/>
            <w:tcBorders>
              <w:tl2br w:val="nil"/>
              <w:tr2bl w:val="nil"/>
            </w:tcBorders>
            <w:shd w:val="clear" w:color="auto" w:fill="FFFFFF"/>
            <w:vAlign w:val="center"/>
          </w:tcPr>
          <w:p w14:paraId="2EF505F0">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社区日常运行成本</w:t>
            </w:r>
          </w:p>
        </w:tc>
        <w:tc>
          <w:tcPr>
            <w:tcW w:w="2789" w:type="dxa"/>
            <w:vMerge w:val="restart"/>
            <w:tcBorders>
              <w:tl2br w:val="nil"/>
              <w:tr2bl w:val="nil"/>
            </w:tcBorders>
            <w:shd w:val="clear" w:color="000000" w:fill="FFFFFF"/>
            <w:vAlign w:val="center"/>
          </w:tcPr>
          <w:p w14:paraId="065683BD">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6D1375CA">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成本节约率=[（计划成本-实际成本）/计划成本]×100%。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14:paraId="7633A5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6FBD18F7">
            <w:pPr>
              <w:widowControl/>
              <w:ind w:firstLine="0" w:firstLineChars="0"/>
              <w:jc w:val="center"/>
              <w:rPr>
                <w:color w:val="auto"/>
                <w:highlight w:val="none"/>
              </w:rPr>
            </w:pPr>
          </w:p>
        </w:tc>
        <w:tc>
          <w:tcPr>
            <w:tcW w:w="1199" w:type="dxa"/>
            <w:vMerge w:val="continue"/>
            <w:tcBorders>
              <w:tl2br w:val="nil"/>
              <w:tr2bl w:val="nil"/>
            </w:tcBorders>
            <w:shd w:val="clear" w:color="auto" w:fill="FFFFFF"/>
            <w:vAlign w:val="center"/>
          </w:tcPr>
          <w:p w14:paraId="343BD85F">
            <w:pPr>
              <w:widowControl/>
              <w:ind w:firstLine="0" w:firstLineChars="0"/>
              <w:jc w:val="center"/>
              <w:rPr>
                <w:color w:val="auto"/>
                <w:highlight w:val="none"/>
              </w:rPr>
            </w:pPr>
          </w:p>
        </w:tc>
        <w:tc>
          <w:tcPr>
            <w:tcW w:w="1411" w:type="dxa"/>
            <w:tcBorders>
              <w:tl2br w:val="nil"/>
              <w:tr2bl w:val="nil"/>
            </w:tcBorders>
            <w:shd w:val="clear" w:color="auto" w:fill="FFFFFF"/>
            <w:vAlign w:val="center"/>
          </w:tcPr>
          <w:p w14:paraId="768FB491">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开展群众活动成本</w:t>
            </w:r>
          </w:p>
        </w:tc>
        <w:tc>
          <w:tcPr>
            <w:tcW w:w="2789" w:type="dxa"/>
            <w:vMerge w:val="continue"/>
            <w:tcBorders>
              <w:tl2br w:val="nil"/>
              <w:tr2bl w:val="nil"/>
            </w:tcBorders>
            <w:shd w:val="clear" w:color="000000" w:fill="FFFFFF"/>
            <w:vAlign w:val="center"/>
          </w:tcPr>
          <w:p w14:paraId="435788B8">
            <w:pPr>
              <w:widowControl/>
              <w:ind w:firstLine="0" w:firstLineChars="0"/>
              <w:jc w:val="center"/>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69AE13B3">
            <w:pPr>
              <w:widowControl/>
              <w:ind w:firstLine="0" w:firstLineChars="0"/>
              <w:jc w:val="center"/>
              <w:rPr>
                <w:rFonts w:ascii="宋体" w:hAnsi="宋体" w:eastAsia="宋体" w:cs="宋体"/>
                <w:color w:val="auto"/>
                <w:kern w:val="0"/>
                <w:sz w:val="22"/>
                <w:highlight w:val="none"/>
              </w:rPr>
            </w:pPr>
          </w:p>
        </w:tc>
      </w:tr>
      <w:tr w14:paraId="5B7424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07171818">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790AF02C">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4EA36499">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购买办公耗材成本</w:t>
            </w:r>
          </w:p>
        </w:tc>
        <w:tc>
          <w:tcPr>
            <w:tcW w:w="2789" w:type="dxa"/>
            <w:vMerge w:val="continue"/>
            <w:tcBorders>
              <w:tl2br w:val="nil"/>
              <w:tr2bl w:val="nil"/>
            </w:tcBorders>
            <w:shd w:val="clear" w:color="000000" w:fill="FFFFFF"/>
            <w:vAlign w:val="center"/>
          </w:tcPr>
          <w:p w14:paraId="6368428C">
            <w:pPr>
              <w:widowControl/>
              <w:ind w:firstLine="0" w:firstLineChars="0"/>
              <w:jc w:val="center"/>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59860975">
            <w:pPr>
              <w:widowControl/>
              <w:ind w:firstLine="0" w:firstLineChars="0"/>
              <w:jc w:val="center"/>
              <w:rPr>
                <w:rFonts w:ascii="宋体" w:hAnsi="宋体" w:eastAsia="宋体" w:cs="宋体"/>
                <w:color w:val="auto"/>
                <w:kern w:val="0"/>
                <w:sz w:val="22"/>
                <w:highlight w:val="none"/>
              </w:rPr>
            </w:pPr>
          </w:p>
        </w:tc>
      </w:tr>
      <w:tr w14:paraId="048072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14:paraId="5AD69FED">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76F59BF7">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2217662E">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平均化解每类欠款成本</w:t>
            </w:r>
          </w:p>
        </w:tc>
        <w:tc>
          <w:tcPr>
            <w:tcW w:w="2789" w:type="dxa"/>
            <w:vMerge w:val="continue"/>
            <w:tcBorders>
              <w:tl2br w:val="nil"/>
              <w:tr2bl w:val="nil"/>
            </w:tcBorders>
            <w:shd w:val="clear" w:color="000000" w:fill="FFFFFF"/>
            <w:vAlign w:val="center"/>
          </w:tcPr>
          <w:p w14:paraId="4FD24062">
            <w:pPr>
              <w:widowControl/>
              <w:ind w:firstLine="0" w:firstLineChars="0"/>
              <w:jc w:val="center"/>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3A76F9F7">
            <w:pPr>
              <w:widowControl/>
              <w:ind w:firstLine="0" w:firstLineChars="0"/>
              <w:jc w:val="center"/>
              <w:rPr>
                <w:rFonts w:ascii="宋体" w:hAnsi="宋体" w:eastAsia="宋体" w:cs="宋体"/>
                <w:color w:val="auto"/>
                <w:kern w:val="0"/>
                <w:sz w:val="22"/>
                <w:highlight w:val="none"/>
              </w:rPr>
            </w:pPr>
          </w:p>
        </w:tc>
      </w:tr>
      <w:tr w14:paraId="673B26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4330BDA7">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lang w:val="en-US" w:eastAsia="zh-CN"/>
              </w:rPr>
              <w:t>效益</w:t>
            </w:r>
          </w:p>
        </w:tc>
        <w:tc>
          <w:tcPr>
            <w:tcW w:w="1199" w:type="dxa"/>
            <w:tcBorders>
              <w:tl2br w:val="nil"/>
              <w:tr2bl w:val="nil"/>
            </w:tcBorders>
            <w:shd w:val="clear" w:color="auto" w:fill="FFFFFF"/>
            <w:vAlign w:val="center"/>
          </w:tcPr>
          <w:p w14:paraId="232FEAE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lang w:val="en-US" w:eastAsia="zh-CN"/>
              </w:rPr>
              <w:t>社会效益指标</w:t>
            </w:r>
          </w:p>
        </w:tc>
        <w:tc>
          <w:tcPr>
            <w:tcW w:w="1411" w:type="dxa"/>
            <w:tcBorders>
              <w:tl2br w:val="nil"/>
              <w:tr2bl w:val="nil"/>
            </w:tcBorders>
            <w:shd w:val="clear" w:color="auto" w:fill="FFFFFF"/>
            <w:vAlign w:val="center"/>
          </w:tcPr>
          <w:p w14:paraId="1DAE70B3">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提高社区工作效率</w:t>
            </w:r>
          </w:p>
        </w:tc>
        <w:tc>
          <w:tcPr>
            <w:tcW w:w="2789" w:type="dxa"/>
            <w:tcBorders>
              <w:tl2br w:val="nil"/>
              <w:tr2bl w:val="nil"/>
            </w:tcBorders>
            <w:shd w:val="clear" w:color="auto" w:fill="FFFFFF"/>
            <w:vAlign w:val="center"/>
          </w:tcPr>
          <w:p w14:paraId="3F3AD4D8">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项目实施所产生的效益。</w:t>
            </w:r>
          </w:p>
        </w:tc>
        <w:tc>
          <w:tcPr>
            <w:tcW w:w="7341" w:type="dxa"/>
            <w:tcBorders>
              <w:tl2br w:val="nil"/>
              <w:tr2bl w:val="nil"/>
            </w:tcBorders>
            <w:shd w:val="clear" w:color="auto" w:fill="FFFFFF"/>
            <w:vAlign w:val="center"/>
          </w:tcPr>
          <w:p w14:paraId="3B20AA57">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项目实施所产生的社会效益、经济效益、生态效益、可持续影响等。可根据项目实际情况有选择地设置和细化。</w:t>
            </w:r>
          </w:p>
        </w:tc>
      </w:tr>
      <w:tr w14:paraId="6B3EEB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5BE67E54">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lang w:val="en-US" w:eastAsia="zh-CN"/>
              </w:rPr>
              <w:t>满意度指标完成情况分析</w:t>
            </w:r>
          </w:p>
        </w:tc>
        <w:tc>
          <w:tcPr>
            <w:tcW w:w="1199" w:type="dxa"/>
            <w:tcBorders>
              <w:tl2br w:val="nil"/>
              <w:tr2bl w:val="nil"/>
            </w:tcBorders>
            <w:shd w:val="clear" w:color="auto" w:fill="FFFFFF"/>
            <w:vAlign w:val="center"/>
          </w:tcPr>
          <w:p w14:paraId="69BF70EA">
            <w:pPr>
              <w:widowControl/>
              <w:ind w:firstLine="0" w:firstLineChars="0"/>
              <w:jc w:val="center"/>
              <w:rPr>
                <w:rFonts w:hint="eastAsia"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满意度指标</w:t>
            </w:r>
          </w:p>
        </w:tc>
        <w:tc>
          <w:tcPr>
            <w:tcW w:w="1411" w:type="dxa"/>
            <w:tcBorders>
              <w:tl2br w:val="nil"/>
              <w:tr2bl w:val="nil"/>
            </w:tcBorders>
            <w:shd w:val="clear" w:color="auto" w:fill="FFFFFF"/>
            <w:vAlign w:val="center"/>
          </w:tcPr>
          <w:p w14:paraId="39F4D289">
            <w:pPr>
              <w:widowControl/>
              <w:ind w:firstLine="0" w:firstLineChars="0"/>
              <w:jc w:val="center"/>
              <w:rPr>
                <w:rFonts w:hint="eastAsia"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辖区居民满意度</w:t>
            </w:r>
          </w:p>
        </w:tc>
        <w:tc>
          <w:tcPr>
            <w:tcW w:w="2789" w:type="dxa"/>
            <w:tcBorders>
              <w:tl2br w:val="nil"/>
              <w:tr2bl w:val="nil"/>
            </w:tcBorders>
            <w:shd w:val="clear" w:color="000000" w:fill="FFFFFF"/>
            <w:vAlign w:val="center"/>
          </w:tcPr>
          <w:p w14:paraId="2DE7B552">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14:paraId="43681D6C">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社会公众或服务对象是指因该项目实施而受到影响的部门（单位）、群体或个人。一般采取社会调查的方式。</w:t>
            </w:r>
          </w:p>
        </w:tc>
      </w:tr>
    </w:tbl>
    <w:p w14:paraId="5F38BD42">
      <w:pPr>
        <w:ind w:firstLine="0" w:firstLineChars="0"/>
        <w:jc w:val="center"/>
        <w:rPr>
          <w:rFonts w:ascii="仿宋_GB2312"/>
          <w:color w:val="auto"/>
          <w:highlight w:val="none"/>
        </w:rPr>
      </w:pPr>
    </w:p>
    <w:p w14:paraId="68F32CD9">
      <w:pPr>
        <w:ind w:firstLine="0" w:firstLineChars="0"/>
        <w:jc w:val="center"/>
        <w:rPr>
          <w:rFonts w:ascii="仿宋_GB2312"/>
          <w:color w:val="auto"/>
          <w:highlight w:val="none"/>
        </w:rPr>
      </w:pPr>
    </w:p>
    <w:p w14:paraId="2E397B5C">
      <w:pPr>
        <w:ind w:firstLine="0" w:firstLineChars="0"/>
        <w:jc w:val="center"/>
        <w:rPr>
          <w:rFonts w:ascii="仿宋_GB2312"/>
          <w:color w:val="auto"/>
          <w:highlight w:val="none"/>
        </w:rPr>
      </w:pPr>
    </w:p>
    <w:p w14:paraId="2E78B2A7">
      <w:pPr>
        <w:ind w:firstLine="0" w:firstLineChars="0"/>
        <w:jc w:val="center"/>
        <w:rPr>
          <w:rFonts w:ascii="仿宋_GB2312"/>
          <w:color w:val="auto"/>
          <w:highlight w:val="none"/>
        </w:rPr>
      </w:pPr>
    </w:p>
    <w:p w14:paraId="71925FDB">
      <w:pPr>
        <w:ind w:firstLine="0" w:firstLineChars="0"/>
        <w:jc w:val="center"/>
        <w:rPr>
          <w:rFonts w:ascii="仿宋_GB2312"/>
          <w:color w:val="auto"/>
          <w:highlight w:val="none"/>
        </w:rPr>
      </w:pPr>
    </w:p>
    <w:p w14:paraId="325FFA76">
      <w:pPr>
        <w:ind w:firstLine="0" w:firstLineChars="0"/>
        <w:jc w:val="center"/>
        <w:rPr>
          <w:rFonts w:ascii="仿宋_GB2312"/>
          <w:color w:val="auto"/>
          <w:highlight w:val="none"/>
        </w:rPr>
        <w:sectPr>
          <w:pgSz w:w="16838" w:h="11906" w:orient="landscape"/>
          <w:pgMar w:top="1800" w:right="1440" w:bottom="1800" w:left="1440" w:header="1276" w:footer="992" w:gutter="0"/>
          <w:cols w:space="425" w:num="1"/>
          <w:docGrid w:type="lines" w:linePitch="381" w:charSpace="0"/>
        </w:sectPr>
      </w:pPr>
    </w:p>
    <w:p w14:paraId="745D77D0">
      <w:pPr>
        <w:pStyle w:val="4"/>
        <w:ind w:firstLine="643"/>
        <w:rPr>
          <w:color w:val="auto"/>
          <w:highlight w:val="none"/>
        </w:rPr>
      </w:pPr>
      <w:bookmarkStart w:id="22" w:name="_Hlk67586038"/>
      <w:bookmarkStart w:id="23" w:name="_Toc196487546"/>
      <w:r>
        <w:rPr>
          <w:color w:val="auto"/>
          <w:highlight w:val="none"/>
        </w:rPr>
        <w:t>3.</w:t>
      </w:r>
      <w:r>
        <w:rPr>
          <w:rFonts w:hint="eastAsia"/>
          <w:color w:val="auto"/>
          <w:highlight w:val="none"/>
        </w:rPr>
        <w:t>评价方法</w:t>
      </w:r>
      <w:bookmarkEnd w:id="22"/>
      <w:bookmarkEnd w:id="23"/>
    </w:p>
    <w:p w14:paraId="61873413">
      <w:pPr>
        <w:spacing w:line="360" w:lineRule="auto"/>
        <w:ind w:firstLine="560"/>
        <w:rPr>
          <w:rFonts w:ascii="仿宋_GB2312"/>
          <w:color w:val="auto"/>
          <w:highlight w:val="none"/>
        </w:rPr>
      </w:pPr>
      <w:r>
        <w:rPr>
          <w:rFonts w:hint="eastAsia" w:ascii="仿宋_GB2312"/>
          <w:color w:val="auto"/>
          <w:highlight w:val="none"/>
        </w:rPr>
        <w:t>《关于印发&lt;项目支出绩效评价管理办法&gt;的通知》（财预〔2020〕10号）文件指出部门评价的方法主要包括成本效益分析法、比较法、因素分析法、最低成本法、公众评判法、标杆管理法等。</w:t>
      </w:r>
    </w:p>
    <w:p w14:paraId="02C16B65">
      <w:pPr>
        <w:spacing w:line="360" w:lineRule="auto"/>
        <w:ind w:firstLine="560"/>
        <w:rPr>
          <w:rFonts w:ascii="仿宋_GB2312"/>
          <w:color w:val="auto"/>
          <w:highlight w:val="none"/>
        </w:rPr>
      </w:pPr>
      <w:r>
        <w:rPr>
          <w:rFonts w:hint="eastAsia" w:ascii="仿宋_GB2312"/>
          <w:color w:val="auto"/>
          <w:highlight w:val="none"/>
        </w:rPr>
        <w:t>（1）成本效益分析法。是指将投入与产出、效益进行关联性分析的方法。</w:t>
      </w:r>
    </w:p>
    <w:p w14:paraId="5C442B96">
      <w:pPr>
        <w:spacing w:line="360" w:lineRule="auto"/>
        <w:ind w:firstLine="560"/>
        <w:rPr>
          <w:rFonts w:hint="eastAsia" w:ascii="仿宋_GB2312"/>
          <w:color w:val="auto"/>
          <w:highlight w:val="none"/>
        </w:rPr>
      </w:pPr>
      <w:r>
        <w:rPr>
          <w:rFonts w:hint="eastAsia" w:ascii="仿宋_GB2312"/>
          <w:color w:val="auto"/>
          <w:highlight w:val="none"/>
        </w:rPr>
        <w:t>（2）比较法。是指将实施情况与绩效目标、历史情况、不同部门和地区同类支出情况进行比较的方法。</w:t>
      </w:r>
    </w:p>
    <w:p w14:paraId="463C3A53">
      <w:pPr>
        <w:spacing w:line="360" w:lineRule="auto"/>
        <w:ind w:firstLine="560"/>
        <w:rPr>
          <w:rFonts w:ascii="仿宋_GB2312"/>
          <w:color w:val="auto"/>
          <w:highlight w:val="none"/>
        </w:rPr>
      </w:pPr>
      <w:r>
        <w:rPr>
          <w:rFonts w:hint="eastAsia" w:ascii="仿宋_GB2312"/>
          <w:color w:val="auto"/>
          <w:highlight w:val="none"/>
        </w:rPr>
        <w:t>（3）因素分析法。是指综合分析影响绩效目标实现、实施效果的内外部因素的方法。</w:t>
      </w:r>
    </w:p>
    <w:p w14:paraId="602094F7">
      <w:pPr>
        <w:spacing w:line="360" w:lineRule="auto"/>
        <w:ind w:firstLine="560"/>
        <w:rPr>
          <w:rFonts w:ascii="仿宋_GB2312"/>
          <w:color w:val="auto"/>
          <w:highlight w:val="none"/>
        </w:rPr>
      </w:pPr>
      <w:r>
        <w:rPr>
          <w:rFonts w:hint="eastAsia" w:ascii="仿宋_GB2312"/>
          <w:color w:val="auto"/>
          <w:highlight w:val="none"/>
        </w:rPr>
        <w:t>（4）最低成本法。是指在绩效目标确定的前提下，成本最小者为优的方法。</w:t>
      </w:r>
    </w:p>
    <w:p w14:paraId="0B59DD63">
      <w:pPr>
        <w:spacing w:line="360" w:lineRule="auto"/>
        <w:ind w:firstLine="560"/>
        <w:rPr>
          <w:rFonts w:ascii="仿宋_GB2312"/>
          <w:color w:val="auto"/>
          <w:highlight w:val="none"/>
        </w:rPr>
      </w:pPr>
      <w:r>
        <w:rPr>
          <w:rFonts w:hint="eastAsia" w:ascii="仿宋_GB2312"/>
          <w:color w:val="auto"/>
          <w:highlight w:val="none"/>
        </w:rPr>
        <w:t>（5）公众评判法。是指通过专家评估、公众问卷及抽样调查等方式进行评判的方法。</w:t>
      </w:r>
    </w:p>
    <w:p w14:paraId="41F8A9DE">
      <w:pPr>
        <w:spacing w:line="360" w:lineRule="auto"/>
        <w:ind w:firstLine="560"/>
        <w:rPr>
          <w:rFonts w:ascii="仿宋_GB2312"/>
          <w:color w:val="auto"/>
          <w:highlight w:val="none"/>
        </w:rPr>
      </w:pPr>
      <w:r>
        <w:rPr>
          <w:rFonts w:hint="eastAsia" w:ascii="仿宋_GB2312"/>
          <w:color w:val="auto"/>
          <w:highlight w:val="none"/>
        </w:rPr>
        <w:t>（6）标杆管理法。是指以国内外同行业中较高的绩效水平为标杆进行评判的方法。</w:t>
      </w:r>
    </w:p>
    <w:p w14:paraId="157A0A6D">
      <w:pPr>
        <w:spacing w:line="360" w:lineRule="auto"/>
        <w:ind w:firstLine="560"/>
        <w:rPr>
          <w:rFonts w:ascii="仿宋_GB2312"/>
          <w:color w:val="auto"/>
          <w:highlight w:val="none"/>
        </w:rPr>
      </w:pPr>
      <w:r>
        <w:rPr>
          <w:rFonts w:hint="eastAsia" w:ascii="仿宋_GB2312"/>
          <w:color w:val="auto"/>
          <w:highlight w:val="none"/>
        </w:rPr>
        <w:t>（7）其他评价方法。</w:t>
      </w:r>
    </w:p>
    <w:p w14:paraId="29154848">
      <w:pPr>
        <w:spacing w:line="360" w:lineRule="auto"/>
        <w:ind w:firstLine="560"/>
        <w:rPr>
          <w:rFonts w:ascii="仿宋_GB2312"/>
          <w:color w:val="auto"/>
          <w:highlight w:val="none"/>
        </w:rPr>
      </w:pPr>
      <w:r>
        <w:rPr>
          <w:rFonts w:hint="eastAsia" w:ascii="仿宋_GB2312"/>
          <w:color w:val="auto"/>
          <w:highlight w:val="none"/>
        </w:rPr>
        <w:t>根据本项目（</w:t>
      </w:r>
      <w:r>
        <w:rPr>
          <w:rFonts w:hint="eastAsia" w:ascii="仿宋_GB2312"/>
          <w:color w:val="auto"/>
          <w:highlight w:val="none"/>
          <w:lang w:val="en-US" w:eastAsia="zh-CN"/>
        </w:rPr>
        <w:t>社区经费（80%）</w:t>
      </w:r>
      <w:r>
        <w:rPr>
          <w:rFonts w:hint="eastAsia" w:ascii="仿宋_GB2312"/>
          <w:color w:val="auto"/>
          <w:highlight w:val="none"/>
        </w:rPr>
        <w:t>）的特点，本次评价主要采用</w:t>
      </w:r>
      <w:r>
        <w:rPr>
          <w:rFonts w:hint="eastAsia" w:ascii="仿宋_GB2312"/>
          <w:color w:val="auto"/>
          <w:highlight w:val="none"/>
          <w:lang w:val="en-US" w:eastAsia="zh-CN"/>
        </w:rPr>
        <w:t>成本效益分析法、比较法</w:t>
      </w:r>
      <w:r>
        <w:rPr>
          <w:rFonts w:ascii="仿宋_GB2312"/>
          <w:color w:val="auto"/>
          <w:highlight w:val="none"/>
        </w:rPr>
        <w:t>和</w:t>
      </w:r>
      <w:r>
        <w:rPr>
          <w:rFonts w:hint="eastAsia" w:ascii="仿宋_GB2312"/>
          <w:color w:val="auto"/>
          <w:highlight w:val="none"/>
        </w:rPr>
        <w:t>公众评判法，对项目总预算和明细预算的内容、标准、计划是否经济合理进行深入分析，以考察实际产出和效益是否达到预期。</w:t>
      </w:r>
    </w:p>
    <w:p w14:paraId="77551646">
      <w:pPr>
        <w:pStyle w:val="4"/>
        <w:ind w:firstLine="643"/>
        <w:rPr>
          <w:color w:val="auto"/>
          <w:highlight w:val="none"/>
        </w:rPr>
      </w:pPr>
      <w:bookmarkStart w:id="24" w:name="_Toc196487547"/>
      <w:r>
        <w:rPr>
          <w:color w:val="auto"/>
          <w:highlight w:val="none"/>
        </w:rPr>
        <w:t>4.</w:t>
      </w:r>
      <w:r>
        <w:rPr>
          <w:rFonts w:hint="eastAsia"/>
          <w:color w:val="auto"/>
          <w:highlight w:val="none"/>
        </w:rPr>
        <w:t>评价标准</w:t>
      </w:r>
      <w:bookmarkEnd w:id="24"/>
    </w:p>
    <w:p w14:paraId="487040CA">
      <w:pPr>
        <w:spacing w:line="360" w:lineRule="auto"/>
        <w:ind w:firstLine="560"/>
        <w:rPr>
          <w:rFonts w:ascii="仿宋_GB2312"/>
          <w:color w:val="auto"/>
          <w:highlight w:val="none"/>
        </w:rPr>
      </w:pPr>
      <w:r>
        <w:rPr>
          <w:rFonts w:hint="eastAsia" w:ascii="仿宋_GB2312"/>
          <w:color w:val="auto"/>
          <w:highlight w:val="none"/>
        </w:rPr>
        <w:t>绩效评价标准主要包括计划标准、行业标准、历史标准等，用于对绩效指标完成情况进行比较。</w:t>
      </w:r>
    </w:p>
    <w:p w14:paraId="3B4DB5A9">
      <w:pPr>
        <w:spacing w:line="360" w:lineRule="auto"/>
        <w:ind w:firstLine="560"/>
        <w:rPr>
          <w:rFonts w:ascii="仿宋_GB2312"/>
          <w:color w:val="auto"/>
          <w:highlight w:val="none"/>
        </w:rPr>
      </w:pPr>
      <w:r>
        <w:rPr>
          <w:rFonts w:hint="eastAsia" w:ascii="仿宋_GB2312"/>
          <w:color w:val="auto"/>
          <w:highlight w:val="none"/>
        </w:rPr>
        <w:t>（1）计划标准。指以预先制定的目标、计划、预算、定额等作为评价标准。</w:t>
      </w:r>
    </w:p>
    <w:p w14:paraId="48B7F507">
      <w:pPr>
        <w:spacing w:line="360" w:lineRule="auto"/>
        <w:ind w:firstLine="560"/>
        <w:rPr>
          <w:rFonts w:ascii="仿宋_GB2312"/>
          <w:color w:val="auto"/>
          <w:highlight w:val="none"/>
        </w:rPr>
      </w:pPr>
      <w:r>
        <w:rPr>
          <w:rFonts w:hint="eastAsia" w:ascii="仿宋_GB2312"/>
          <w:color w:val="auto"/>
          <w:highlight w:val="none"/>
        </w:rPr>
        <w:t>（2）行业标准。指参照国家公布的行业指标数据制定的评价标准。</w:t>
      </w:r>
    </w:p>
    <w:p w14:paraId="0ABA15E0">
      <w:pPr>
        <w:spacing w:line="360" w:lineRule="auto"/>
        <w:ind w:firstLine="560"/>
        <w:rPr>
          <w:rFonts w:ascii="仿宋_GB2312"/>
          <w:color w:val="auto"/>
          <w:highlight w:val="none"/>
        </w:rPr>
      </w:pPr>
      <w:r>
        <w:rPr>
          <w:rFonts w:hint="eastAsia" w:ascii="仿宋_GB2312"/>
          <w:color w:val="auto"/>
          <w:highlight w:val="none"/>
        </w:rPr>
        <w:t>（3）历史标准。指参照历史数据制定的评价标准，为体现绩效改进的原则，在可实现的条件下应当确定相对较高的评价标准。</w:t>
      </w:r>
    </w:p>
    <w:p w14:paraId="0B5891ED">
      <w:pPr>
        <w:spacing w:line="360" w:lineRule="auto"/>
        <w:ind w:firstLine="560"/>
        <w:rPr>
          <w:rFonts w:ascii="仿宋_GB2312"/>
          <w:color w:val="auto"/>
          <w:highlight w:val="none"/>
        </w:rPr>
      </w:pPr>
      <w:r>
        <w:rPr>
          <w:rFonts w:hint="eastAsia" w:ascii="仿宋_GB2312"/>
          <w:color w:val="auto"/>
          <w:highlight w:val="none"/>
        </w:rPr>
        <w:t>在上述评价标准的基础上，本次评价依据以下文件为重要指导和准绳：</w:t>
      </w:r>
    </w:p>
    <w:p w14:paraId="06862687">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《中共中央国务院关于全面实施预算绩效管理的意见》（中发〔2018〕34号）</w:t>
      </w:r>
    </w:p>
    <w:p w14:paraId="7AB7756D">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《关于印发&lt;乌鲁木齐市本级部门预算绩效目标管理暂行办法&gt;的通知》（乌财预〔2018〕56号）</w:t>
      </w:r>
    </w:p>
    <w:p w14:paraId="22CDECDE">
      <w:pPr>
        <w:spacing w:line="360" w:lineRule="auto"/>
        <w:ind w:firstLine="560" w:firstLineChars="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《关于做好2019年部门预算项目支出绩效目标管理有关事宜的通知》（乌财预〔2018〕76号）</w:t>
      </w:r>
    </w:p>
    <w:p w14:paraId="09E6DF82">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《项目支出绩效评价管理办法》（财预〔2020〕10号）</w:t>
      </w:r>
    </w:p>
    <w:p w14:paraId="6504C0DF">
      <w:pPr>
        <w:spacing w:line="360" w:lineRule="auto"/>
        <w:ind w:firstLine="560"/>
        <w:rPr>
          <w:rFonts w:hint="eastAsia" w:ascii="黑体" w:hAnsi="黑体" w:eastAsia="黑体" w:cs="Times New Roman"/>
          <w:color w:val="auto"/>
          <w:szCs w:val="28"/>
          <w:highlight w:val="none"/>
        </w:rPr>
      </w:pPr>
      <w:r>
        <w:rPr>
          <w:rFonts w:hint="eastAsia" w:ascii="黑体" w:hAnsi="黑体" w:eastAsia="黑体" w:cs="Times New Roman"/>
          <w:color w:val="auto"/>
          <w:szCs w:val="28"/>
          <w:highlight w:val="none"/>
        </w:rPr>
        <w:t>·</w:t>
      </w:r>
      <w:r>
        <w:rPr>
          <w:rFonts w:hint="eastAsia" w:ascii="仿宋_GB2312"/>
          <w:color w:val="auto"/>
          <w:highlight w:val="none"/>
          <w:lang w:val="en-US" w:eastAsia="zh-CN"/>
        </w:rPr>
        <w:t>《乌鲁木齐市社区工作经费管理使用办法（暂行）》（乌党组办字</w:t>
      </w:r>
      <w:r>
        <w:rPr>
          <w:rFonts w:hint="eastAsia" w:ascii="仿宋_GB2312"/>
          <w:color w:val="auto"/>
          <w:highlight w:val="none"/>
        </w:rPr>
        <w:t>〔</w:t>
      </w:r>
      <w:r>
        <w:rPr>
          <w:rFonts w:hint="eastAsia" w:ascii="仿宋_GB2312"/>
          <w:color w:val="auto"/>
          <w:highlight w:val="none"/>
          <w:lang w:val="en-US" w:eastAsia="zh-CN"/>
        </w:rPr>
        <w:t>2012</w:t>
      </w:r>
      <w:r>
        <w:rPr>
          <w:rFonts w:hint="eastAsia" w:ascii="仿宋_GB2312"/>
          <w:color w:val="auto"/>
          <w:highlight w:val="none"/>
        </w:rPr>
        <w:t>〕</w:t>
      </w:r>
      <w:r>
        <w:rPr>
          <w:rFonts w:hint="default" w:ascii="仿宋_GB2312"/>
          <w:color w:val="auto"/>
          <w:highlight w:val="none"/>
          <w:lang w:val="en-US" w:eastAsia="zh-CN"/>
        </w:rPr>
        <w:t>3</w:t>
      </w:r>
      <w:r>
        <w:rPr>
          <w:rFonts w:hint="eastAsia" w:ascii="仿宋_GB2312"/>
          <w:color w:val="auto"/>
          <w:highlight w:val="none"/>
          <w:lang w:val="en-US" w:eastAsia="zh-CN"/>
        </w:rPr>
        <w:t>1号）</w:t>
      </w:r>
      <w:r>
        <w:rPr>
          <w:rFonts w:hint="eastAsia" w:ascii="黑体" w:hAnsi="黑体" w:eastAsia="黑体" w:cs="Times New Roman"/>
          <w:color w:val="auto"/>
          <w:szCs w:val="28"/>
          <w:highlight w:val="none"/>
          <w:lang w:val="en-US" w:eastAsia="zh-CN"/>
        </w:rPr>
        <w:t xml:space="preserve"> </w:t>
      </w:r>
    </w:p>
    <w:p w14:paraId="3917984E">
      <w:pPr>
        <w:spacing w:line="360" w:lineRule="auto"/>
        <w:ind w:firstLine="560"/>
        <w:rPr>
          <w:rFonts w:hint="eastAsia" w:ascii="黑体" w:hAnsi="黑体" w:eastAsia="黑体" w:cs="Times New Roman"/>
          <w:color w:val="auto"/>
          <w:szCs w:val="28"/>
          <w:highlight w:val="none"/>
          <w:lang w:val="en-US" w:eastAsia="zh-CN"/>
        </w:rPr>
      </w:pPr>
      <w:r>
        <w:rPr>
          <w:rFonts w:hint="eastAsia" w:ascii="黑体" w:hAnsi="黑体" w:eastAsia="黑体" w:cs="Times New Roman"/>
          <w:color w:val="auto"/>
          <w:szCs w:val="28"/>
          <w:highlight w:val="none"/>
        </w:rPr>
        <w:t>·</w:t>
      </w:r>
      <w:r>
        <w:rPr>
          <w:rFonts w:hint="eastAsia" w:ascii="仿宋_GB2312"/>
          <w:color w:val="auto"/>
          <w:highlight w:val="none"/>
          <w:lang w:val="en-US" w:eastAsia="zh-CN"/>
        </w:rPr>
        <w:t>《乌鲁木齐市社区工作经费管理使用办法（暂行）》的补充通知（乌党组办字〔</w:t>
      </w:r>
      <w:r>
        <w:rPr>
          <w:rFonts w:hint="eastAsia" w:ascii="仿宋_GB2312"/>
          <w:color w:val="auto"/>
          <w:highlight w:val="none"/>
        </w:rPr>
        <w:t>201</w:t>
      </w:r>
      <w:r>
        <w:rPr>
          <w:rFonts w:hint="eastAsia" w:ascii="仿宋_GB2312"/>
          <w:color w:val="auto"/>
          <w:highlight w:val="none"/>
          <w:lang w:val="en-US" w:eastAsia="zh-CN"/>
        </w:rPr>
        <w:t>5</w:t>
      </w:r>
      <w:r>
        <w:rPr>
          <w:rFonts w:hint="eastAsia" w:ascii="仿宋_GB2312"/>
          <w:color w:val="auto"/>
          <w:highlight w:val="none"/>
        </w:rPr>
        <w:t>〕</w:t>
      </w:r>
      <w:r>
        <w:rPr>
          <w:rFonts w:hint="default" w:ascii="仿宋_GB2312"/>
          <w:color w:val="auto"/>
          <w:highlight w:val="none"/>
          <w:lang w:val="en-US" w:eastAsia="zh-CN"/>
        </w:rPr>
        <w:t>6</w:t>
      </w:r>
      <w:r>
        <w:rPr>
          <w:rFonts w:hint="eastAsia" w:ascii="仿宋_GB2312"/>
          <w:color w:val="auto"/>
          <w:highlight w:val="none"/>
          <w:lang w:val="en-US" w:eastAsia="zh-CN"/>
        </w:rPr>
        <w:t>号</w:t>
      </w:r>
      <w:r>
        <w:rPr>
          <w:rFonts w:hint="eastAsia" w:ascii="黑体" w:hAnsi="黑体" w:eastAsia="黑体" w:cs="Times New Roman"/>
          <w:color w:val="auto"/>
          <w:szCs w:val="28"/>
          <w:highlight w:val="none"/>
          <w:lang w:val="en-US" w:eastAsia="zh-CN"/>
        </w:rPr>
        <w:t xml:space="preserve">） </w:t>
      </w:r>
    </w:p>
    <w:p w14:paraId="6C24343E">
      <w:pPr>
        <w:spacing w:line="360" w:lineRule="auto"/>
        <w:ind w:firstLine="560"/>
        <w:rPr>
          <w:rFonts w:hint="eastAsia" w:ascii="黑体" w:hAnsi="黑体" w:eastAsia="黑体" w:cs="Times New Roman"/>
          <w:color w:val="auto"/>
          <w:szCs w:val="28"/>
          <w:highlight w:val="none"/>
        </w:rPr>
      </w:pPr>
    </w:p>
    <w:p w14:paraId="7713F728">
      <w:pPr>
        <w:spacing w:line="360" w:lineRule="auto"/>
        <w:ind w:firstLine="560"/>
        <w:rPr>
          <w:rFonts w:hint="eastAsia" w:ascii="仿宋_GB2312"/>
          <w:color w:val="auto"/>
          <w:highlight w:val="none"/>
        </w:rPr>
      </w:pPr>
      <w:r>
        <w:rPr>
          <w:rFonts w:hint="eastAsia" w:ascii="黑体" w:hAnsi="黑体" w:eastAsia="黑体" w:cs="Times New Roman"/>
          <w:color w:val="auto"/>
          <w:szCs w:val="28"/>
          <w:highlight w:val="none"/>
        </w:rPr>
        <w:t>·</w:t>
      </w:r>
      <w:r>
        <w:rPr>
          <w:rFonts w:hint="eastAsia" w:ascii="仿宋_GB2312" w:eastAsia="仿宋_GB2312"/>
          <w:color w:val="auto"/>
          <w:sz w:val="28"/>
          <w:szCs w:val="28"/>
          <w:highlight w:val="none"/>
        </w:rPr>
        <w:t>《关于下达</w:t>
      </w:r>
      <w:r>
        <w:rPr>
          <w:rFonts w:hint="eastAsia" w:ascii="仿宋_GB2312" w:eastAsia="仿宋_GB2312"/>
          <w:color w:val="auto"/>
          <w:sz w:val="28"/>
          <w:szCs w:val="28"/>
          <w:highlight w:val="none"/>
          <w:lang w:eastAsia="zh-CN"/>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年水磨沟区部门预算的通知》（水财发</w:t>
      </w:r>
      <w:r>
        <w:rPr>
          <w:rFonts w:hint="eastAsia" w:ascii="仿宋_GB2312"/>
          <w:color w:val="auto"/>
          <w:szCs w:val="28"/>
          <w:highlight w:val="none"/>
          <w:lang w:val="en-US" w:eastAsia="zh-CN"/>
        </w:rPr>
        <w:t>〔2024〕</w:t>
      </w:r>
      <w:r>
        <w:rPr>
          <w:rFonts w:hint="eastAsia" w:ascii="仿宋_GB2312" w:eastAsia="仿宋_GB2312"/>
          <w:color w:val="auto"/>
          <w:sz w:val="28"/>
          <w:szCs w:val="28"/>
          <w:highlight w:val="none"/>
          <w:lang w:val="en-US" w:eastAsia="zh-CN"/>
        </w:rPr>
        <w:t>20</w:t>
      </w:r>
      <w:r>
        <w:rPr>
          <w:rFonts w:hint="eastAsia" w:ascii="仿宋_GB2312" w:eastAsia="仿宋_GB2312"/>
          <w:color w:val="auto"/>
          <w:sz w:val="28"/>
          <w:szCs w:val="28"/>
          <w:highlight w:val="none"/>
        </w:rPr>
        <w:t>号）</w:t>
      </w:r>
    </w:p>
    <w:p w14:paraId="796C980E">
      <w:pPr>
        <w:pStyle w:val="3"/>
        <w:ind w:firstLine="643"/>
        <w:rPr>
          <w:rFonts w:ascii="仿宋" w:hAnsi="仿宋" w:eastAsia="仿宋"/>
          <w:color w:val="auto"/>
          <w:highlight w:val="none"/>
          <w:lang w:bidi="en-US"/>
        </w:rPr>
      </w:pPr>
      <w:bookmarkStart w:id="25" w:name="_Toc196487548"/>
      <w:bookmarkStart w:id="26" w:name="_Toc67911607"/>
      <w:r>
        <w:rPr>
          <w:rFonts w:hint="eastAsia" w:ascii="仿宋" w:hAnsi="仿宋" w:eastAsia="仿宋"/>
          <w:color w:val="auto"/>
          <w:highlight w:val="none"/>
          <w:lang w:bidi="en-US"/>
        </w:rPr>
        <w:t>（三）绩效评价工作过程</w:t>
      </w:r>
      <w:bookmarkEnd w:id="25"/>
      <w:bookmarkEnd w:id="26"/>
    </w:p>
    <w:p w14:paraId="10DD453D">
      <w:pPr>
        <w:spacing w:line="360" w:lineRule="auto"/>
        <w:ind w:firstLine="560"/>
        <w:rPr>
          <w:rFonts w:ascii="仿宋_GB2312"/>
          <w:color w:val="auto"/>
          <w:highlight w:val="none"/>
        </w:rPr>
      </w:pPr>
      <w:r>
        <w:rPr>
          <w:rFonts w:hint="eastAsia" w:ascii="仿宋_GB2312"/>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color w:val="auto"/>
          <w:highlight w:val="none"/>
        </w:rPr>
        <w:footnoteReference w:id="0"/>
      </w:r>
      <w:r>
        <w:rPr>
          <w:rFonts w:hint="eastAsia" w:ascii="仿宋_GB2312"/>
          <w:color w:val="auto"/>
          <w:highlight w:val="none"/>
        </w:rPr>
        <w:t>、材料审核分析、现场核查评价、综合分析评价及报告撰写，评价项目实施情况，展现资金使用效益。</w:t>
      </w:r>
    </w:p>
    <w:p w14:paraId="0E5F3AAF">
      <w:pPr>
        <w:pStyle w:val="2"/>
        <w:ind w:firstLine="0" w:firstLineChars="0"/>
        <w:jc w:val="left"/>
        <w:rPr>
          <w:rFonts w:ascii="仿宋" w:hAnsi="仿宋" w:eastAsia="仿宋"/>
          <w:color w:val="auto"/>
          <w:sz w:val="36"/>
          <w:szCs w:val="36"/>
          <w:highlight w:val="none"/>
          <w:lang w:bidi="en-US"/>
        </w:rPr>
      </w:pPr>
      <w:bookmarkStart w:id="27" w:name="_Toc196487549"/>
      <w:bookmarkStart w:id="28" w:name="_Toc67911608"/>
      <w:r>
        <w:rPr>
          <w:rFonts w:hint="eastAsia" w:ascii="仿宋" w:hAnsi="仿宋" w:eastAsia="仿宋"/>
          <w:color w:val="auto"/>
          <w:sz w:val="36"/>
          <w:szCs w:val="36"/>
          <w:highlight w:val="none"/>
          <w:lang w:bidi="en-US"/>
        </w:rPr>
        <w:t>三、综合评价情况及评价结论</w:t>
      </w:r>
      <w:bookmarkEnd w:id="27"/>
      <w:bookmarkEnd w:id="28"/>
    </w:p>
    <w:p w14:paraId="5536B3DD">
      <w:pPr>
        <w:pStyle w:val="3"/>
        <w:ind w:firstLine="643"/>
        <w:rPr>
          <w:rFonts w:ascii="仿宋" w:hAnsi="仿宋" w:eastAsia="仿宋"/>
          <w:color w:val="auto"/>
          <w:highlight w:val="none"/>
          <w:lang w:bidi="en-US"/>
        </w:rPr>
      </w:pPr>
      <w:bookmarkStart w:id="29" w:name="_Toc196487550"/>
      <w:bookmarkStart w:id="30" w:name="_Toc67911609"/>
      <w:r>
        <w:rPr>
          <w:rFonts w:hint="eastAsia" w:ascii="仿宋" w:hAnsi="仿宋" w:eastAsia="仿宋"/>
          <w:color w:val="auto"/>
          <w:highlight w:val="none"/>
          <w:lang w:bidi="en-US"/>
        </w:rPr>
        <w:t>（一）评价结论</w:t>
      </w:r>
      <w:bookmarkEnd w:id="29"/>
      <w:bookmarkEnd w:id="30"/>
    </w:p>
    <w:p w14:paraId="040B5B74">
      <w:pPr>
        <w:spacing w:line="360" w:lineRule="auto"/>
        <w:ind w:firstLine="560"/>
        <w:rPr>
          <w:rFonts w:hint="eastAsia" w:ascii="仿宋_GB2312"/>
          <w:color w:val="auto"/>
          <w:szCs w:val="28"/>
          <w:highlight w:val="none"/>
        </w:rPr>
      </w:pPr>
      <w:r>
        <w:rPr>
          <w:rFonts w:hint="eastAsia" w:ascii="仿宋_GB2312"/>
          <w:color w:val="auto"/>
          <w:szCs w:val="28"/>
          <w:highlight w:val="none"/>
        </w:rPr>
        <w:t>结合项目特点，制定符合项目实际的绩效评价指标体系及评分标准，通过数据采集、问卷调查及访谈等形式，对2024年</w:t>
      </w:r>
      <w:r>
        <w:rPr>
          <w:rFonts w:hint="eastAsia" w:ascii="仿宋_GB2312"/>
          <w:color w:val="auto"/>
          <w:szCs w:val="28"/>
          <w:highlight w:val="none"/>
          <w:lang w:val="en-US" w:eastAsia="zh-CN"/>
        </w:rPr>
        <w:t>社区经费（80%）项目</w:t>
      </w:r>
      <w:r>
        <w:rPr>
          <w:rFonts w:hint="eastAsia" w:ascii="仿宋_GB2312"/>
          <w:color w:val="auto"/>
          <w:szCs w:val="28"/>
          <w:highlight w:val="none"/>
        </w:rPr>
        <w:t>进行客观评价，最终评分结果为：总分为</w:t>
      </w:r>
      <w:r>
        <w:rPr>
          <w:rFonts w:hint="eastAsia" w:ascii="仿宋_GB2312"/>
          <w:color w:val="auto"/>
          <w:szCs w:val="28"/>
          <w:highlight w:val="none"/>
          <w:lang w:val="en-US" w:eastAsia="zh-CN"/>
        </w:rPr>
        <w:t>95.36</w:t>
      </w:r>
      <w:r>
        <w:rPr>
          <w:rFonts w:hint="eastAsia" w:ascii="仿宋_GB2312"/>
          <w:color w:val="auto"/>
          <w:szCs w:val="28"/>
          <w:highlight w:val="none"/>
        </w:rPr>
        <w:t>分，绩效评级为“</w:t>
      </w:r>
      <w:r>
        <w:rPr>
          <w:rFonts w:hint="eastAsia" w:ascii="仿宋_GB2312"/>
          <w:color w:val="auto"/>
          <w:szCs w:val="28"/>
          <w:highlight w:val="none"/>
          <w:lang w:val="en-US" w:eastAsia="zh-CN"/>
        </w:rPr>
        <w:t>优</w:t>
      </w:r>
      <w:r>
        <w:rPr>
          <w:rFonts w:hint="eastAsia" w:ascii="仿宋_GB2312"/>
          <w:color w:val="auto"/>
          <w:szCs w:val="28"/>
          <w:highlight w:val="none"/>
        </w:rPr>
        <w:t>”</w:t>
      </w:r>
      <w:r>
        <w:rPr>
          <w:rFonts w:hint="eastAsia" w:ascii="仿宋_GB2312"/>
          <w:color w:val="auto"/>
          <w:szCs w:val="28"/>
          <w:highlight w:val="none"/>
        </w:rPr>
        <w:footnoteReference w:id="1"/>
      </w:r>
      <w:r>
        <w:rPr>
          <w:rFonts w:hint="eastAsia" w:ascii="仿宋_GB2312"/>
          <w:color w:val="auto"/>
          <w:szCs w:val="28"/>
          <w:highlight w:val="none"/>
        </w:rPr>
        <w:t>。</w:t>
      </w:r>
    </w:p>
    <w:p w14:paraId="39762D04">
      <w:pPr>
        <w:spacing w:line="360" w:lineRule="auto"/>
        <w:ind w:firstLine="560"/>
        <w:rPr>
          <w:rFonts w:hint="eastAsia" w:ascii="仿宋_GB2312"/>
          <w:color w:val="auto"/>
          <w:szCs w:val="28"/>
          <w:highlight w:val="none"/>
        </w:rPr>
      </w:pPr>
      <w:r>
        <w:rPr>
          <w:rFonts w:hint="eastAsia" w:ascii="仿宋_GB2312"/>
          <w:color w:val="auto"/>
          <w:szCs w:val="28"/>
          <w:highlight w:val="none"/>
          <w:lang w:val="en-US" w:eastAsia="zh-CN"/>
        </w:rPr>
        <w:t>社区经费（80%）</w:t>
      </w:r>
      <w:r>
        <w:rPr>
          <w:rFonts w:hint="eastAsia" w:ascii="仿宋_GB2312"/>
          <w:color w:val="auto"/>
          <w:szCs w:val="28"/>
          <w:highlight w:val="none"/>
        </w:rPr>
        <w:t>项目各部分权重和绩效分值如附表所示：</w:t>
      </w:r>
    </w:p>
    <w:p w14:paraId="2C208480">
      <w:pPr>
        <w:spacing w:line="360" w:lineRule="auto"/>
        <w:ind w:firstLine="0" w:firstLineChars="0"/>
        <w:jc w:val="center"/>
        <w:rPr>
          <w:rFonts w:ascii="仿宋_GB2312"/>
          <w:b/>
          <w:bCs/>
          <w:color w:val="auto"/>
          <w:szCs w:val="28"/>
          <w:highlight w:val="none"/>
        </w:rPr>
      </w:pPr>
      <w:r>
        <w:rPr>
          <w:rFonts w:ascii="仿宋_GB2312"/>
          <w:b/>
          <w:bCs/>
          <w:color w:val="auto"/>
          <w:szCs w:val="28"/>
          <w:highlight w:val="none"/>
        </w:rPr>
        <w:t xml:space="preserve">  </w:t>
      </w:r>
      <w:r>
        <w:rPr>
          <w:rFonts w:hint="eastAsia" w:ascii="仿宋_GB2312"/>
          <w:b/>
          <w:bCs/>
          <w:color w:val="auto"/>
          <w:szCs w:val="28"/>
          <w:highlight w:val="none"/>
        </w:rPr>
        <w:t>项目各部分权重和绩效分值</w:t>
      </w:r>
    </w:p>
    <w:tbl>
      <w:tblPr>
        <w:tblStyle w:val="14"/>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3B5355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61962C57">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一级指标</w:t>
            </w:r>
          </w:p>
        </w:tc>
        <w:tc>
          <w:tcPr>
            <w:tcW w:w="1984" w:type="dxa"/>
            <w:tcBorders>
              <w:tl2br w:val="nil"/>
              <w:tr2bl w:val="nil"/>
            </w:tcBorders>
            <w:shd w:val="clear" w:color="auto" w:fill="D0CECE"/>
            <w:vAlign w:val="center"/>
          </w:tcPr>
          <w:p w14:paraId="6DD12189">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二级指标</w:t>
            </w:r>
          </w:p>
        </w:tc>
        <w:tc>
          <w:tcPr>
            <w:tcW w:w="2693" w:type="dxa"/>
            <w:tcBorders>
              <w:tl2br w:val="nil"/>
              <w:tr2bl w:val="nil"/>
            </w:tcBorders>
            <w:shd w:val="clear" w:color="auto" w:fill="D0CECE"/>
            <w:vAlign w:val="center"/>
          </w:tcPr>
          <w:p w14:paraId="7770A412">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三级指标</w:t>
            </w:r>
          </w:p>
        </w:tc>
        <w:tc>
          <w:tcPr>
            <w:tcW w:w="898" w:type="dxa"/>
            <w:tcBorders>
              <w:tl2br w:val="nil"/>
              <w:tr2bl w:val="nil"/>
            </w:tcBorders>
            <w:shd w:val="clear" w:color="auto" w:fill="D0CECE"/>
            <w:vAlign w:val="center"/>
          </w:tcPr>
          <w:p w14:paraId="23527239">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分值</w:t>
            </w:r>
          </w:p>
        </w:tc>
        <w:tc>
          <w:tcPr>
            <w:tcW w:w="898" w:type="dxa"/>
            <w:tcBorders>
              <w:tl2br w:val="nil"/>
              <w:tr2bl w:val="nil"/>
            </w:tcBorders>
            <w:shd w:val="clear" w:color="auto" w:fill="D0CECE"/>
            <w:vAlign w:val="center"/>
          </w:tcPr>
          <w:p w14:paraId="7ADD05A4">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得分</w:t>
            </w:r>
          </w:p>
        </w:tc>
        <w:tc>
          <w:tcPr>
            <w:tcW w:w="1039" w:type="dxa"/>
            <w:tcBorders>
              <w:tl2br w:val="nil"/>
              <w:tr2bl w:val="nil"/>
            </w:tcBorders>
            <w:shd w:val="clear" w:color="auto" w:fill="D0CECE"/>
            <w:vAlign w:val="center"/>
          </w:tcPr>
          <w:p w14:paraId="10D718C2">
            <w:pPr>
              <w:widowControl/>
              <w:ind w:firstLine="0" w:firstLineChars="0"/>
              <w:jc w:val="center"/>
              <w:rPr>
                <w:rFonts w:ascii="仿宋_GB2312" w:hAnsi="Gungsuh" w:cs="宋体"/>
                <w:b/>
                <w:bCs/>
                <w:color w:val="auto"/>
                <w:kern w:val="0"/>
                <w:sz w:val="24"/>
                <w:szCs w:val="24"/>
                <w:highlight w:val="none"/>
              </w:rPr>
            </w:pPr>
            <w:r>
              <w:rPr>
                <w:rFonts w:hint="eastAsia" w:ascii="仿宋_GB2312" w:hAnsi="Gungsuh" w:cs="宋体"/>
                <w:b/>
                <w:bCs/>
                <w:color w:val="auto"/>
                <w:kern w:val="0"/>
                <w:sz w:val="24"/>
                <w:szCs w:val="24"/>
                <w:highlight w:val="none"/>
              </w:rPr>
              <w:t>得分率</w:t>
            </w:r>
          </w:p>
        </w:tc>
      </w:tr>
      <w:tr w14:paraId="190F93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2D1BED1B">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决策</w:t>
            </w:r>
          </w:p>
        </w:tc>
        <w:tc>
          <w:tcPr>
            <w:tcW w:w="1984" w:type="dxa"/>
            <w:vMerge w:val="restart"/>
            <w:tcBorders>
              <w:tl2br w:val="nil"/>
              <w:tr2bl w:val="nil"/>
            </w:tcBorders>
            <w:shd w:val="clear" w:color="auto" w:fill="FFFFFF"/>
            <w:vAlign w:val="center"/>
          </w:tcPr>
          <w:p w14:paraId="7C204291">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项目立项</w:t>
            </w:r>
          </w:p>
        </w:tc>
        <w:tc>
          <w:tcPr>
            <w:tcW w:w="2693" w:type="dxa"/>
            <w:tcBorders>
              <w:tl2br w:val="nil"/>
              <w:tr2bl w:val="nil"/>
            </w:tcBorders>
            <w:shd w:val="clear" w:color="auto" w:fill="FFFFFF"/>
            <w:vAlign w:val="center"/>
          </w:tcPr>
          <w:p w14:paraId="593FB751">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立项依据充分性</w:t>
            </w:r>
          </w:p>
        </w:tc>
        <w:tc>
          <w:tcPr>
            <w:tcW w:w="898" w:type="dxa"/>
            <w:tcBorders>
              <w:tl2br w:val="nil"/>
              <w:tr2bl w:val="nil"/>
            </w:tcBorders>
            <w:shd w:val="clear" w:color="auto" w:fill="FFFFFF"/>
            <w:vAlign w:val="center"/>
          </w:tcPr>
          <w:p w14:paraId="7479C8A3">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auto" w:fill="FFFFFF"/>
            <w:vAlign w:val="center"/>
          </w:tcPr>
          <w:p w14:paraId="37684229">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auto" w:fill="FFFFFF"/>
            <w:vAlign w:val="center"/>
          </w:tcPr>
          <w:p w14:paraId="3F71307B">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100%</w:t>
            </w:r>
          </w:p>
        </w:tc>
      </w:tr>
      <w:tr w14:paraId="63DBDD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8BDC907">
            <w:pPr>
              <w:ind w:firstLine="48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740218FA">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14:paraId="0009AF5E">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立项程序规范性</w:t>
            </w:r>
          </w:p>
        </w:tc>
        <w:tc>
          <w:tcPr>
            <w:tcW w:w="898" w:type="dxa"/>
            <w:tcBorders>
              <w:tl2br w:val="nil"/>
              <w:tr2bl w:val="nil"/>
            </w:tcBorders>
            <w:shd w:val="clear" w:color="auto" w:fill="FFFFFF"/>
            <w:vAlign w:val="center"/>
          </w:tcPr>
          <w:p w14:paraId="7EF0D0BC">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auto" w:fill="FFFFFF"/>
            <w:vAlign w:val="center"/>
          </w:tcPr>
          <w:p w14:paraId="0A1C5958">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auto" w:fill="FFFFFF"/>
            <w:vAlign w:val="center"/>
          </w:tcPr>
          <w:p w14:paraId="7489CE82">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4AA36D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C0DA6D9">
            <w:pPr>
              <w:ind w:firstLine="48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14:paraId="51F2E101">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绩效目标</w:t>
            </w:r>
          </w:p>
        </w:tc>
        <w:tc>
          <w:tcPr>
            <w:tcW w:w="2693" w:type="dxa"/>
            <w:tcBorders>
              <w:tl2br w:val="nil"/>
              <w:tr2bl w:val="nil"/>
            </w:tcBorders>
            <w:shd w:val="clear" w:color="auto" w:fill="FFFFFF"/>
            <w:vAlign w:val="center"/>
          </w:tcPr>
          <w:p w14:paraId="32A168A1">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绩效目标合理性</w:t>
            </w:r>
          </w:p>
        </w:tc>
        <w:tc>
          <w:tcPr>
            <w:tcW w:w="898" w:type="dxa"/>
            <w:tcBorders>
              <w:tl2br w:val="nil"/>
              <w:tr2bl w:val="nil"/>
            </w:tcBorders>
            <w:shd w:val="clear" w:color="000000" w:fill="FFFFFF"/>
            <w:vAlign w:val="center"/>
          </w:tcPr>
          <w:p w14:paraId="6B568959">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14:paraId="5A0C09DE">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w:t>
            </w:r>
          </w:p>
        </w:tc>
        <w:tc>
          <w:tcPr>
            <w:tcW w:w="1039" w:type="dxa"/>
            <w:tcBorders>
              <w:tl2br w:val="nil"/>
              <w:tr2bl w:val="nil"/>
            </w:tcBorders>
            <w:shd w:val="clear" w:color="000000" w:fill="FFFFFF"/>
            <w:vAlign w:val="center"/>
          </w:tcPr>
          <w:p w14:paraId="668B2BAD">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470F65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9E549CC">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47B45F6A">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14:paraId="455A4AE8">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绩效指标明确性</w:t>
            </w:r>
          </w:p>
        </w:tc>
        <w:tc>
          <w:tcPr>
            <w:tcW w:w="898" w:type="dxa"/>
            <w:tcBorders>
              <w:tl2br w:val="nil"/>
              <w:tr2bl w:val="nil"/>
            </w:tcBorders>
            <w:shd w:val="clear" w:color="000000" w:fill="FFFFFF"/>
            <w:vAlign w:val="center"/>
          </w:tcPr>
          <w:p w14:paraId="6ECFEE4D">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14:paraId="5794F2E1">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w:t>
            </w:r>
          </w:p>
        </w:tc>
        <w:tc>
          <w:tcPr>
            <w:tcW w:w="1039" w:type="dxa"/>
            <w:tcBorders>
              <w:tl2br w:val="nil"/>
              <w:tr2bl w:val="nil"/>
            </w:tcBorders>
            <w:shd w:val="clear" w:color="000000" w:fill="FFFFFF"/>
            <w:vAlign w:val="center"/>
          </w:tcPr>
          <w:p w14:paraId="1BC72D05">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3B175A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757E8CE">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14:paraId="7196640F">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资金投入</w:t>
            </w:r>
          </w:p>
        </w:tc>
        <w:tc>
          <w:tcPr>
            <w:tcW w:w="2693" w:type="dxa"/>
            <w:tcBorders>
              <w:tl2br w:val="nil"/>
              <w:tr2bl w:val="nil"/>
            </w:tcBorders>
            <w:shd w:val="clear" w:color="auto" w:fill="FFFFFF"/>
            <w:vAlign w:val="center"/>
          </w:tcPr>
          <w:p w14:paraId="1F7E068E">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预算编制科学性</w:t>
            </w:r>
          </w:p>
        </w:tc>
        <w:tc>
          <w:tcPr>
            <w:tcW w:w="898" w:type="dxa"/>
            <w:tcBorders>
              <w:tl2br w:val="nil"/>
              <w:tr2bl w:val="nil"/>
            </w:tcBorders>
            <w:shd w:val="clear" w:color="auto" w:fill="FFFFFF"/>
            <w:vAlign w:val="center"/>
          </w:tcPr>
          <w:p w14:paraId="62BBA4AA">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auto" w:fill="FFFFFF"/>
            <w:vAlign w:val="center"/>
          </w:tcPr>
          <w:p w14:paraId="1086A197">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w:t>
            </w:r>
          </w:p>
        </w:tc>
        <w:tc>
          <w:tcPr>
            <w:tcW w:w="1039" w:type="dxa"/>
            <w:tcBorders>
              <w:tl2br w:val="nil"/>
              <w:tr2bl w:val="nil"/>
            </w:tcBorders>
            <w:shd w:val="clear" w:color="auto" w:fill="FFFFFF"/>
            <w:vAlign w:val="center"/>
          </w:tcPr>
          <w:p w14:paraId="3E3E708F">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1E01FE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369C772">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78243440">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14:paraId="21896E80">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资金分配合理性</w:t>
            </w:r>
          </w:p>
        </w:tc>
        <w:tc>
          <w:tcPr>
            <w:tcW w:w="898" w:type="dxa"/>
            <w:tcBorders>
              <w:tl2br w:val="nil"/>
              <w:tr2bl w:val="nil"/>
            </w:tcBorders>
            <w:shd w:val="clear" w:color="auto" w:fill="FFFFFF"/>
            <w:vAlign w:val="center"/>
          </w:tcPr>
          <w:p w14:paraId="54387D66">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auto" w:fill="FFFFFF"/>
            <w:vAlign w:val="center"/>
          </w:tcPr>
          <w:p w14:paraId="7EB6D356">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w:t>
            </w:r>
          </w:p>
        </w:tc>
        <w:tc>
          <w:tcPr>
            <w:tcW w:w="1039" w:type="dxa"/>
            <w:tcBorders>
              <w:tl2br w:val="nil"/>
              <w:tr2bl w:val="nil"/>
            </w:tcBorders>
            <w:shd w:val="clear" w:color="auto" w:fill="FFFFFF"/>
            <w:vAlign w:val="center"/>
          </w:tcPr>
          <w:p w14:paraId="6509D424">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7D65A1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2C2196EE">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过程</w:t>
            </w:r>
          </w:p>
        </w:tc>
        <w:tc>
          <w:tcPr>
            <w:tcW w:w="1984" w:type="dxa"/>
            <w:vMerge w:val="restart"/>
            <w:tcBorders>
              <w:tl2br w:val="nil"/>
              <w:tr2bl w:val="nil"/>
            </w:tcBorders>
            <w:shd w:val="clear" w:color="auto" w:fill="FFFFFF"/>
            <w:vAlign w:val="center"/>
          </w:tcPr>
          <w:p w14:paraId="44A4F340">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资金管理</w:t>
            </w:r>
          </w:p>
        </w:tc>
        <w:tc>
          <w:tcPr>
            <w:tcW w:w="2693" w:type="dxa"/>
            <w:tcBorders>
              <w:tl2br w:val="nil"/>
              <w:tr2bl w:val="nil"/>
            </w:tcBorders>
            <w:shd w:val="clear" w:color="auto" w:fill="FFFFFF"/>
            <w:vAlign w:val="center"/>
          </w:tcPr>
          <w:p w14:paraId="79C12C91">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资金到位率</w:t>
            </w:r>
          </w:p>
        </w:tc>
        <w:tc>
          <w:tcPr>
            <w:tcW w:w="898" w:type="dxa"/>
            <w:tcBorders>
              <w:tl2br w:val="nil"/>
              <w:tr2bl w:val="nil"/>
            </w:tcBorders>
            <w:shd w:val="clear" w:color="000000" w:fill="FFFFFF"/>
            <w:vAlign w:val="center"/>
          </w:tcPr>
          <w:p w14:paraId="49DDBB69">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000000" w:fill="FFFFFF"/>
            <w:vAlign w:val="center"/>
          </w:tcPr>
          <w:p w14:paraId="3CDEF8E0">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5</w:t>
            </w:r>
          </w:p>
        </w:tc>
        <w:tc>
          <w:tcPr>
            <w:tcW w:w="1039" w:type="dxa"/>
            <w:tcBorders>
              <w:tl2br w:val="nil"/>
              <w:tr2bl w:val="nil"/>
            </w:tcBorders>
            <w:shd w:val="clear" w:color="000000" w:fill="FFFFFF"/>
            <w:vAlign w:val="center"/>
          </w:tcPr>
          <w:p w14:paraId="1EFC85E3">
            <w:pPr>
              <w:widowControl/>
              <w:ind w:firstLine="240" w:firstLineChars="10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3C49C8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44D9939">
            <w:pPr>
              <w:ind w:firstLine="48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3127F0A2">
            <w:pPr>
              <w:ind w:firstLine="48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14:paraId="7E352ACC">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预算执行率</w:t>
            </w:r>
          </w:p>
        </w:tc>
        <w:tc>
          <w:tcPr>
            <w:tcW w:w="898" w:type="dxa"/>
            <w:tcBorders>
              <w:tl2br w:val="nil"/>
              <w:tr2bl w:val="nil"/>
            </w:tcBorders>
            <w:shd w:val="clear" w:color="auto" w:fill="FFFFFF"/>
            <w:vAlign w:val="center"/>
          </w:tcPr>
          <w:p w14:paraId="33697A8D">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auto" w:fill="FFFFFF"/>
            <w:vAlign w:val="center"/>
          </w:tcPr>
          <w:p w14:paraId="3FC32C07">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3.96</w:t>
            </w:r>
          </w:p>
        </w:tc>
        <w:tc>
          <w:tcPr>
            <w:tcW w:w="1039" w:type="dxa"/>
            <w:tcBorders>
              <w:tl2br w:val="nil"/>
              <w:tr2bl w:val="nil"/>
            </w:tcBorders>
            <w:shd w:val="clear" w:color="auto" w:fill="FFFFFF"/>
            <w:vAlign w:val="center"/>
          </w:tcPr>
          <w:p w14:paraId="19A53DE1">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79.28%</w:t>
            </w:r>
          </w:p>
        </w:tc>
      </w:tr>
      <w:tr w14:paraId="4F2D97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97DBDE0">
            <w:pPr>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66B3B2F5">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14:paraId="7AF3C8B2">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资金使用合规性</w:t>
            </w:r>
          </w:p>
        </w:tc>
        <w:tc>
          <w:tcPr>
            <w:tcW w:w="898" w:type="dxa"/>
            <w:tcBorders>
              <w:tl2br w:val="nil"/>
              <w:tr2bl w:val="nil"/>
            </w:tcBorders>
            <w:shd w:val="clear" w:color="000000" w:fill="FFFFFF"/>
            <w:vAlign w:val="center"/>
          </w:tcPr>
          <w:p w14:paraId="22FE5DA0">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14:paraId="4B5FBC53">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w:t>
            </w:r>
          </w:p>
        </w:tc>
        <w:tc>
          <w:tcPr>
            <w:tcW w:w="1039" w:type="dxa"/>
            <w:tcBorders>
              <w:tl2br w:val="nil"/>
              <w:tr2bl w:val="nil"/>
            </w:tcBorders>
            <w:shd w:val="clear" w:color="000000" w:fill="FFFFFF"/>
            <w:vAlign w:val="center"/>
          </w:tcPr>
          <w:p w14:paraId="39802E08">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0F794F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9E7F694">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14:paraId="27EE8285">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组织实施</w:t>
            </w:r>
          </w:p>
        </w:tc>
        <w:tc>
          <w:tcPr>
            <w:tcW w:w="2693" w:type="dxa"/>
            <w:tcBorders>
              <w:tl2br w:val="nil"/>
              <w:tr2bl w:val="nil"/>
            </w:tcBorders>
            <w:shd w:val="clear" w:color="auto" w:fill="FFFFFF"/>
            <w:vAlign w:val="center"/>
          </w:tcPr>
          <w:p w14:paraId="16BF4058">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管理制度健全性</w:t>
            </w:r>
          </w:p>
        </w:tc>
        <w:tc>
          <w:tcPr>
            <w:tcW w:w="898" w:type="dxa"/>
            <w:tcBorders>
              <w:tl2br w:val="nil"/>
              <w:tr2bl w:val="nil"/>
            </w:tcBorders>
            <w:shd w:val="clear" w:color="000000" w:fill="FFFFFF"/>
            <w:vAlign w:val="center"/>
          </w:tcPr>
          <w:p w14:paraId="1B61D240">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14:paraId="794FE9B5">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w:t>
            </w:r>
          </w:p>
        </w:tc>
        <w:tc>
          <w:tcPr>
            <w:tcW w:w="1039" w:type="dxa"/>
            <w:tcBorders>
              <w:tl2br w:val="nil"/>
              <w:tr2bl w:val="nil"/>
            </w:tcBorders>
            <w:shd w:val="clear" w:color="000000" w:fill="FFFFFF"/>
            <w:vAlign w:val="center"/>
          </w:tcPr>
          <w:p w14:paraId="601F2577">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6D9474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BCAFA6D">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67482256">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14:paraId="4EE2C3BF">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制度执行有效性</w:t>
            </w:r>
          </w:p>
        </w:tc>
        <w:tc>
          <w:tcPr>
            <w:tcW w:w="898" w:type="dxa"/>
            <w:tcBorders>
              <w:tl2br w:val="nil"/>
              <w:tr2bl w:val="nil"/>
            </w:tcBorders>
            <w:shd w:val="clear" w:color="000000" w:fill="FFFFFF"/>
            <w:vAlign w:val="center"/>
          </w:tcPr>
          <w:p w14:paraId="694E6EBE">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000000" w:fill="FFFFFF"/>
            <w:vAlign w:val="center"/>
          </w:tcPr>
          <w:p w14:paraId="3D767D6F">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000000" w:fill="FFFFFF"/>
            <w:vAlign w:val="center"/>
          </w:tcPr>
          <w:p w14:paraId="2EC05F7D">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223EC9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72A05D8D">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产出</w:t>
            </w:r>
          </w:p>
        </w:tc>
        <w:tc>
          <w:tcPr>
            <w:tcW w:w="1984" w:type="dxa"/>
            <w:vMerge w:val="restart"/>
            <w:tcBorders>
              <w:tl2br w:val="nil"/>
              <w:tr2bl w:val="nil"/>
            </w:tcBorders>
            <w:shd w:val="clear" w:color="auto" w:fill="FFFFFF"/>
            <w:vAlign w:val="center"/>
          </w:tcPr>
          <w:p w14:paraId="22BAB900">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产出数量</w:t>
            </w:r>
          </w:p>
        </w:tc>
        <w:tc>
          <w:tcPr>
            <w:tcW w:w="2693" w:type="dxa"/>
            <w:tcBorders>
              <w:tl2br w:val="nil"/>
              <w:tr2bl w:val="nil"/>
            </w:tcBorders>
            <w:shd w:val="clear" w:color="auto" w:fill="FFFFFF"/>
          </w:tcPr>
          <w:p w14:paraId="6B045802">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社区数量</w:t>
            </w:r>
          </w:p>
        </w:tc>
        <w:tc>
          <w:tcPr>
            <w:tcW w:w="898" w:type="dxa"/>
            <w:tcBorders>
              <w:tl2br w:val="nil"/>
              <w:tr2bl w:val="nil"/>
            </w:tcBorders>
            <w:shd w:val="clear" w:color="000000" w:fill="FFFFFF"/>
            <w:vAlign w:val="center"/>
          </w:tcPr>
          <w:p w14:paraId="3060B6F4">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898" w:type="dxa"/>
            <w:tcBorders>
              <w:tl2br w:val="nil"/>
              <w:tr2bl w:val="nil"/>
            </w:tcBorders>
            <w:shd w:val="clear" w:color="000000" w:fill="FFFFFF"/>
            <w:vAlign w:val="center"/>
          </w:tcPr>
          <w:p w14:paraId="6268806D">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000000" w:fill="FFFFFF"/>
            <w:vAlign w:val="center"/>
          </w:tcPr>
          <w:p w14:paraId="2D09B16E">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261B55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4F6B4CF9">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34AF0242">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14:paraId="6003350B">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开展群众活动次数</w:t>
            </w:r>
          </w:p>
        </w:tc>
        <w:tc>
          <w:tcPr>
            <w:tcW w:w="898" w:type="dxa"/>
            <w:tcBorders>
              <w:tl2br w:val="nil"/>
              <w:tr2bl w:val="nil"/>
            </w:tcBorders>
            <w:shd w:val="clear" w:color="000000" w:fill="FFFFFF"/>
            <w:vAlign w:val="center"/>
          </w:tcPr>
          <w:p w14:paraId="593B3054">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898" w:type="dxa"/>
            <w:tcBorders>
              <w:tl2br w:val="nil"/>
              <w:tr2bl w:val="nil"/>
            </w:tcBorders>
            <w:shd w:val="clear" w:color="000000" w:fill="FFFFFF"/>
            <w:vAlign w:val="center"/>
          </w:tcPr>
          <w:p w14:paraId="0412D3EB">
            <w:pPr>
              <w:widowControl/>
              <w:ind w:firstLine="240" w:firstLineChars="10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000000" w:fill="FFFFFF"/>
            <w:vAlign w:val="center"/>
          </w:tcPr>
          <w:p w14:paraId="4F49F474">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1FE8D8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25851660">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48285CF3">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14:paraId="764F5A29">
            <w:pPr>
              <w:widowControl/>
              <w:ind w:firstLine="0" w:firstLineChars="0"/>
              <w:jc w:val="center"/>
              <w:rPr>
                <w:rFonts w:hint="default" w:ascii="宋体" w:hAnsi="宋体" w:eastAsia="宋体" w:cs="宋体"/>
                <w:color w:val="auto"/>
                <w:kern w:val="0"/>
                <w:sz w:val="22"/>
                <w:highlight w:val="none"/>
                <w:lang w:val="en-US" w:eastAsia="zh-CN"/>
              </w:rPr>
            </w:pPr>
            <w:r>
              <w:rPr>
                <w:rFonts w:hint="eastAsia" w:ascii="仿宋_GB2312" w:hAnsi="宋体" w:cs="宋体"/>
                <w:color w:val="auto"/>
                <w:kern w:val="0"/>
                <w:sz w:val="24"/>
                <w:szCs w:val="24"/>
                <w:highlight w:val="none"/>
                <w:lang w:val="en-US" w:eastAsia="zh-CN"/>
              </w:rPr>
              <w:t>社区购买办公耗材次数</w:t>
            </w:r>
          </w:p>
        </w:tc>
        <w:tc>
          <w:tcPr>
            <w:tcW w:w="898" w:type="dxa"/>
            <w:tcBorders>
              <w:tl2br w:val="nil"/>
              <w:tr2bl w:val="nil"/>
            </w:tcBorders>
            <w:shd w:val="clear" w:color="000000" w:fill="FFFFFF"/>
            <w:vAlign w:val="center"/>
          </w:tcPr>
          <w:p w14:paraId="526473E2">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898" w:type="dxa"/>
            <w:tcBorders>
              <w:tl2br w:val="nil"/>
              <w:tr2bl w:val="nil"/>
            </w:tcBorders>
            <w:shd w:val="clear" w:color="000000" w:fill="FFFFFF"/>
            <w:vAlign w:val="center"/>
          </w:tcPr>
          <w:p w14:paraId="56445F19">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000000" w:fill="FFFFFF"/>
            <w:vAlign w:val="center"/>
          </w:tcPr>
          <w:p w14:paraId="2C0CD37B">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78B1B1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27CC7B5B">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19FFF82F">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14:paraId="629BDB40">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社区化解欠款类型</w:t>
            </w:r>
          </w:p>
        </w:tc>
        <w:tc>
          <w:tcPr>
            <w:tcW w:w="898" w:type="dxa"/>
            <w:tcBorders>
              <w:tl2br w:val="nil"/>
              <w:tr2bl w:val="nil"/>
            </w:tcBorders>
            <w:shd w:val="clear" w:color="000000" w:fill="FFFFFF"/>
            <w:vAlign w:val="center"/>
          </w:tcPr>
          <w:p w14:paraId="426A4421">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w:t>
            </w:r>
          </w:p>
        </w:tc>
        <w:tc>
          <w:tcPr>
            <w:tcW w:w="898" w:type="dxa"/>
            <w:tcBorders>
              <w:tl2br w:val="nil"/>
              <w:tr2bl w:val="nil"/>
            </w:tcBorders>
            <w:shd w:val="clear" w:color="000000" w:fill="FFFFFF"/>
            <w:vAlign w:val="center"/>
          </w:tcPr>
          <w:p w14:paraId="06E58F59">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2.4</w:t>
            </w:r>
          </w:p>
        </w:tc>
        <w:tc>
          <w:tcPr>
            <w:tcW w:w="1039" w:type="dxa"/>
            <w:tcBorders>
              <w:tl2br w:val="nil"/>
              <w:tr2bl w:val="nil"/>
            </w:tcBorders>
            <w:shd w:val="clear" w:color="000000" w:fill="FFFFFF"/>
            <w:vAlign w:val="center"/>
          </w:tcPr>
          <w:p w14:paraId="5D729ACA">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80%</w:t>
            </w:r>
          </w:p>
        </w:tc>
      </w:tr>
      <w:tr w14:paraId="076AD7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C9A0F99">
            <w:pPr>
              <w:widowControl/>
              <w:ind w:firstLine="0" w:firstLineChars="0"/>
              <w:jc w:val="center"/>
              <w:rPr>
                <w:rFonts w:ascii="仿宋_GB2312" w:hAnsi="宋体" w:cs="宋体"/>
                <w:color w:val="auto"/>
                <w:kern w:val="0"/>
                <w:sz w:val="24"/>
                <w:szCs w:val="24"/>
                <w:highlight w:val="none"/>
              </w:rPr>
            </w:pPr>
          </w:p>
        </w:tc>
        <w:tc>
          <w:tcPr>
            <w:tcW w:w="1984" w:type="dxa"/>
            <w:tcBorders>
              <w:tl2br w:val="nil"/>
              <w:tr2bl w:val="nil"/>
            </w:tcBorders>
            <w:shd w:val="clear" w:color="auto" w:fill="FFFFFF"/>
            <w:vAlign w:val="center"/>
          </w:tcPr>
          <w:p w14:paraId="41C4DA92">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产出质量</w:t>
            </w:r>
          </w:p>
        </w:tc>
        <w:tc>
          <w:tcPr>
            <w:tcW w:w="2693" w:type="dxa"/>
            <w:tcBorders>
              <w:tl2br w:val="nil"/>
              <w:tr2bl w:val="nil"/>
            </w:tcBorders>
            <w:shd w:val="clear" w:color="auto" w:fill="FFFFFF"/>
            <w:vAlign w:val="center"/>
          </w:tcPr>
          <w:p w14:paraId="0E799228">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社区工作正常开展率</w:t>
            </w:r>
          </w:p>
        </w:tc>
        <w:tc>
          <w:tcPr>
            <w:tcW w:w="898" w:type="dxa"/>
            <w:tcBorders>
              <w:tl2br w:val="nil"/>
              <w:tr2bl w:val="nil"/>
            </w:tcBorders>
            <w:shd w:val="clear" w:color="000000" w:fill="FFFFFF"/>
            <w:vAlign w:val="center"/>
          </w:tcPr>
          <w:p w14:paraId="30AC9632">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w:t>
            </w:r>
            <w:r>
              <w:rPr>
                <w:rFonts w:ascii="仿宋_GB2312" w:hAnsi="宋体" w:cs="宋体"/>
                <w:color w:val="auto"/>
                <w:kern w:val="0"/>
                <w:sz w:val="24"/>
                <w:szCs w:val="24"/>
                <w:highlight w:val="none"/>
              </w:rPr>
              <w:t>0</w:t>
            </w:r>
          </w:p>
        </w:tc>
        <w:tc>
          <w:tcPr>
            <w:tcW w:w="898" w:type="dxa"/>
            <w:tcBorders>
              <w:tl2br w:val="nil"/>
              <w:tr2bl w:val="nil"/>
            </w:tcBorders>
            <w:shd w:val="clear" w:color="000000" w:fill="FFFFFF"/>
            <w:vAlign w:val="center"/>
          </w:tcPr>
          <w:p w14:paraId="0DA61F0A">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1039" w:type="dxa"/>
            <w:tcBorders>
              <w:tl2br w:val="nil"/>
              <w:tr2bl w:val="nil"/>
            </w:tcBorders>
            <w:shd w:val="clear" w:color="000000" w:fill="FFFFFF"/>
            <w:vAlign w:val="center"/>
          </w:tcPr>
          <w:p w14:paraId="1131D3CA">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117EBF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2464A75C">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14:paraId="6FEC57D1">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产出成本</w:t>
            </w:r>
          </w:p>
        </w:tc>
        <w:tc>
          <w:tcPr>
            <w:tcW w:w="2693" w:type="dxa"/>
            <w:tcBorders>
              <w:tl2br w:val="nil"/>
              <w:tr2bl w:val="nil"/>
            </w:tcBorders>
            <w:shd w:val="clear" w:color="auto" w:fill="FFFFFF"/>
            <w:vAlign w:val="center"/>
          </w:tcPr>
          <w:p w14:paraId="5558C521">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社区日常运行成本</w:t>
            </w:r>
          </w:p>
        </w:tc>
        <w:tc>
          <w:tcPr>
            <w:tcW w:w="898" w:type="dxa"/>
            <w:tcBorders>
              <w:tl2br w:val="nil"/>
              <w:tr2bl w:val="nil"/>
            </w:tcBorders>
            <w:shd w:val="clear" w:color="000000" w:fill="FFFFFF"/>
            <w:vAlign w:val="center"/>
          </w:tcPr>
          <w:p w14:paraId="733B7EB3">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898" w:type="dxa"/>
            <w:tcBorders>
              <w:tl2br w:val="nil"/>
              <w:tr2bl w:val="nil"/>
            </w:tcBorders>
            <w:shd w:val="clear" w:color="000000" w:fill="FFFFFF"/>
            <w:vAlign w:val="center"/>
          </w:tcPr>
          <w:p w14:paraId="346BFF98">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000000" w:fill="FFFFFF"/>
            <w:vAlign w:val="center"/>
          </w:tcPr>
          <w:p w14:paraId="2B476B92">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30C5AB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799786CB">
            <w:pPr>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6F17B385">
            <w:pPr>
              <w:ind w:firstLine="0" w:firstLineChars="0"/>
              <w:jc w:val="center"/>
              <w:rPr>
                <w:rFonts w:hint="eastAsia" w:ascii="仿宋_GB2312" w:hAnsi="宋体" w:cs="宋体"/>
                <w:color w:val="auto"/>
                <w:kern w:val="0"/>
                <w:sz w:val="24"/>
                <w:szCs w:val="24"/>
                <w:highlight w:val="none"/>
                <w:lang w:val="en-US" w:eastAsia="zh-CN"/>
              </w:rPr>
            </w:pPr>
          </w:p>
        </w:tc>
        <w:tc>
          <w:tcPr>
            <w:tcW w:w="2693" w:type="dxa"/>
            <w:tcBorders>
              <w:tl2br w:val="nil"/>
              <w:tr2bl w:val="nil"/>
            </w:tcBorders>
            <w:shd w:val="clear" w:color="auto" w:fill="FFFFFF"/>
            <w:vAlign w:val="center"/>
          </w:tcPr>
          <w:p w14:paraId="247D5E6B">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开展群众活动成本</w:t>
            </w:r>
          </w:p>
        </w:tc>
        <w:tc>
          <w:tcPr>
            <w:tcW w:w="898" w:type="dxa"/>
            <w:tcBorders>
              <w:tl2br w:val="nil"/>
              <w:tr2bl w:val="nil"/>
            </w:tcBorders>
            <w:shd w:val="clear" w:color="000000" w:fill="FFFFFF"/>
            <w:vAlign w:val="center"/>
          </w:tcPr>
          <w:p w14:paraId="25976D11">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898" w:type="dxa"/>
            <w:tcBorders>
              <w:tl2br w:val="nil"/>
              <w:tr2bl w:val="nil"/>
            </w:tcBorders>
            <w:shd w:val="clear" w:color="000000" w:fill="FFFFFF"/>
            <w:vAlign w:val="center"/>
          </w:tcPr>
          <w:p w14:paraId="27F6ABBD">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000000" w:fill="FFFFFF"/>
            <w:vAlign w:val="center"/>
          </w:tcPr>
          <w:p w14:paraId="36EADE08">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436E20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162E39C8">
            <w:pPr>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3ED7BE6A">
            <w:pPr>
              <w:ind w:firstLine="0" w:firstLineChars="0"/>
              <w:jc w:val="center"/>
              <w:rPr>
                <w:rFonts w:hint="eastAsia" w:ascii="仿宋_GB2312" w:hAnsi="宋体" w:cs="宋体"/>
                <w:color w:val="auto"/>
                <w:kern w:val="0"/>
                <w:sz w:val="24"/>
                <w:szCs w:val="24"/>
                <w:highlight w:val="none"/>
                <w:lang w:val="en-US" w:eastAsia="zh-CN"/>
              </w:rPr>
            </w:pPr>
          </w:p>
        </w:tc>
        <w:tc>
          <w:tcPr>
            <w:tcW w:w="2693" w:type="dxa"/>
            <w:tcBorders>
              <w:tl2br w:val="nil"/>
              <w:tr2bl w:val="nil"/>
            </w:tcBorders>
            <w:shd w:val="clear" w:color="auto" w:fill="FFFFFF"/>
            <w:vAlign w:val="center"/>
          </w:tcPr>
          <w:p w14:paraId="6BDF874A">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购买办公耗材成本</w:t>
            </w:r>
          </w:p>
        </w:tc>
        <w:tc>
          <w:tcPr>
            <w:tcW w:w="898" w:type="dxa"/>
            <w:tcBorders>
              <w:tl2br w:val="nil"/>
              <w:tr2bl w:val="nil"/>
            </w:tcBorders>
            <w:shd w:val="clear" w:color="000000" w:fill="FFFFFF"/>
            <w:vAlign w:val="center"/>
          </w:tcPr>
          <w:p w14:paraId="2A51A170">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898" w:type="dxa"/>
            <w:tcBorders>
              <w:tl2br w:val="nil"/>
              <w:tr2bl w:val="nil"/>
            </w:tcBorders>
            <w:shd w:val="clear" w:color="000000" w:fill="FFFFFF"/>
            <w:vAlign w:val="center"/>
          </w:tcPr>
          <w:p w14:paraId="21F589B7">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4</w:t>
            </w:r>
          </w:p>
        </w:tc>
        <w:tc>
          <w:tcPr>
            <w:tcW w:w="1039" w:type="dxa"/>
            <w:tcBorders>
              <w:tl2br w:val="nil"/>
              <w:tr2bl w:val="nil"/>
            </w:tcBorders>
            <w:shd w:val="clear" w:color="000000" w:fill="FFFFFF"/>
            <w:vAlign w:val="center"/>
          </w:tcPr>
          <w:p w14:paraId="2196DE47">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3F2189B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C89B11F">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14:paraId="1AB203F7">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14:paraId="594F812B">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平均化解每类欠款成本</w:t>
            </w:r>
          </w:p>
        </w:tc>
        <w:tc>
          <w:tcPr>
            <w:tcW w:w="898" w:type="dxa"/>
            <w:tcBorders>
              <w:tl2br w:val="nil"/>
              <w:tr2bl w:val="nil"/>
            </w:tcBorders>
            <w:shd w:val="clear" w:color="000000" w:fill="FFFFFF"/>
            <w:vAlign w:val="center"/>
          </w:tcPr>
          <w:p w14:paraId="65F12112">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3</w:t>
            </w:r>
          </w:p>
        </w:tc>
        <w:tc>
          <w:tcPr>
            <w:tcW w:w="898" w:type="dxa"/>
            <w:tcBorders>
              <w:tl2br w:val="nil"/>
              <w:tr2bl w:val="nil"/>
            </w:tcBorders>
            <w:shd w:val="clear" w:color="000000" w:fill="FFFFFF"/>
            <w:vAlign w:val="center"/>
          </w:tcPr>
          <w:p w14:paraId="2361468D">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0</w:t>
            </w:r>
          </w:p>
        </w:tc>
        <w:tc>
          <w:tcPr>
            <w:tcW w:w="1039" w:type="dxa"/>
            <w:tcBorders>
              <w:tl2br w:val="nil"/>
              <w:tr2bl w:val="nil"/>
            </w:tcBorders>
            <w:shd w:val="clear" w:color="000000" w:fill="FFFFFF"/>
            <w:vAlign w:val="center"/>
          </w:tcPr>
          <w:p w14:paraId="0C66146F">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0%</w:t>
            </w:r>
          </w:p>
        </w:tc>
      </w:tr>
      <w:tr w14:paraId="6C8245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54641CB5">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效益</w:t>
            </w:r>
          </w:p>
        </w:tc>
        <w:tc>
          <w:tcPr>
            <w:tcW w:w="1984" w:type="dxa"/>
            <w:tcBorders>
              <w:tl2br w:val="nil"/>
              <w:tr2bl w:val="nil"/>
            </w:tcBorders>
            <w:shd w:val="clear" w:color="auto" w:fill="FFFFFF"/>
            <w:vAlign w:val="center"/>
          </w:tcPr>
          <w:p w14:paraId="55E695D6">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项目效益</w:t>
            </w:r>
          </w:p>
        </w:tc>
        <w:tc>
          <w:tcPr>
            <w:tcW w:w="2693" w:type="dxa"/>
            <w:tcBorders>
              <w:tl2br w:val="nil"/>
              <w:tr2bl w:val="nil"/>
            </w:tcBorders>
            <w:shd w:val="clear" w:color="auto" w:fill="FFFFFF"/>
            <w:vAlign w:val="center"/>
          </w:tcPr>
          <w:p w14:paraId="1E31E8E8">
            <w:pPr>
              <w:widowControl/>
              <w:ind w:firstLine="0" w:firstLineChars="0"/>
              <w:jc w:val="center"/>
              <w:rPr>
                <w:rFonts w:hint="default" w:ascii="仿宋_GB2312" w:hAnsi="宋体"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提高社区工作效率</w:t>
            </w:r>
          </w:p>
        </w:tc>
        <w:tc>
          <w:tcPr>
            <w:tcW w:w="898" w:type="dxa"/>
            <w:tcBorders>
              <w:tl2br w:val="nil"/>
              <w:tr2bl w:val="nil"/>
            </w:tcBorders>
            <w:shd w:val="clear" w:color="auto" w:fill="FFFFFF"/>
            <w:vAlign w:val="center"/>
          </w:tcPr>
          <w:p w14:paraId="0734477F">
            <w:pPr>
              <w:widowControl/>
              <w:ind w:firstLine="0" w:firstLineChars="0"/>
              <w:jc w:val="center"/>
              <w:rPr>
                <w:rFonts w:hint="eastAsia" w:ascii="仿宋_GB2312" w:hAnsi="宋体"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898" w:type="dxa"/>
            <w:tcBorders>
              <w:tl2br w:val="nil"/>
              <w:tr2bl w:val="nil"/>
            </w:tcBorders>
            <w:shd w:val="clear" w:color="auto" w:fill="FFFFFF"/>
            <w:vAlign w:val="center"/>
          </w:tcPr>
          <w:p w14:paraId="63A35CA4">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1039" w:type="dxa"/>
            <w:tcBorders>
              <w:tl2br w:val="nil"/>
              <w:tr2bl w:val="nil"/>
            </w:tcBorders>
            <w:shd w:val="clear" w:color="auto" w:fill="FFFFFF"/>
            <w:vAlign w:val="center"/>
          </w:tcPr>
          <w:p w14:paraId="0824290C">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r w14:paraId="0BA95F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332C601E">
            <w:pPr>
              <w:widowControl/>
              <w:ind w:firstLine="0" w:firstLineChars="0"/>
              <w:jc w:val="center"/>
              <w:rPr>
                <w:rFonts w:hint="eastAsia" w:ascii="仿宋_GB2312" w:hAnsi="宋体"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满意度指标完成情况分析</w:t>
            </w:r>
          </w:p>
        </w:tc>
        <w:tc>
          <w:tcPr>
            <w:tcW w:w="1984" w:type="dxa"/>
            <w:tcBorders>
              <w:tl2br w:val="nil"/>
              <w:tr2bl w:val="nil"/>
            </w:tcBorders>
            <w:shd w:val="clear" w:color="auto" w:fill="FFFFFF"/>
            <w:vAlign w:val="center"/>
          </w:tcPr>
          <w:p w14:paraId="1E33A945">
            <w:pPr>
              <w:widowControl/>
              <w:ind w:firstLine="0" w:firstLineChars="0"/>
              <w:jc w:val="center"/>
              <w:rPr>
                <w:rFonts w:hint="eastAsia" w:ascii="仿宋_GB2312" w:hAnsi="宋体"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满意度指标</w:t>
            </w:r>
          </w:p>
        </w:tc>
        <w:tc>
          <w:tcPr>
            <w:tcW w:w="2693" w:type="dxa"/>
            <w:tcBorders>
              <w:tl2br w:val="nil"/>
              <w:tr2bl w:val="nil"/>
            </w:tcBorders>
            <w:shd w:val="clear" w:color="auto" w:fill="FFFFFF"/>
            <w:vAlign w:val="center"/>
          </w:tcPr>
          <w:p w14:paraId="5BAEDCBE">
            <w:pPr>
              <w:widowControl/>
              <w:ind w:firstLine="0" w:firstLineChars="0"/>
              <w:jc w:val="center"/>
              <w:rPr>
                <w:rFonts w:hint="eastAsia" w:ascii="仿宋_GB2312" w:hAnsi="宋体"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辖区居民满意度</w:t>
            </w:r>
          </w:p>
        </w:tc>
        <w:tc>
          <w:tcPr>
            <w:tcW w:w="898" w:type="dxa"/>
            <w:tcBorders>
              <w:tl2br w:val="nil"/>
              <w:tr2bl w:val="nil"/>
            </w:tcBorders>
            <w:shd w:val="clear" w:color="000000" w:fill="FFFFFF"/>
            <w:vAlign w:val="center"/>
          </w:tcPr>
          <w:p w14:paraId="52FDF8FF">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898" w:type="dxa"/>
            <w:tcBorders>
              <w:tl2br w:val="nil"/>
              <w:tr2bl w:val="nil"/>
            </w:tcBorders>
            <w:shd w:val="clear" w:color="000000" w:fill="FFFFFF"/>
            <w:vAlign w:val="center"/>
          </w:tcPr>
          <w:p w14:paraId="3E66CB6A">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1039" w:type="dxa"/>
            <w:tcBorders>
              <w:tl2br w:val="nil"/>
              <w:tr2bl w:val="nil"/>
            </w:tcBorders>
            <w:shd w:val="clear" w:color="000000" w:fill="FFFFFF"/>
            <w:vAlign w:val="center"/>
          </w:tcPr>
          <w:p w14:paraId="291E41AD">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p>
        </w:tc>
      </w:tr>
    </w:tbl>
    <w:p w14:paraId="528B1189">
      <w:pPr>
        <w:pStyle w:val="3"/>
        <w:ind w:firstLine="643"/>
        <w:rPr>
          <w:rFonts w:ascii="仿宋" w:hAnsi="仿宋" w:eastAsia="仿宋"/>
          <w:color w:val="auto"/>
          <w:highlight w:val="none"/>
          <w:lang w:bidi="en-US"/>
        </w:rPr>
      </w:pPr>
      <w:bookmarkStart w:id="31" w:name="_Toc67911610"/>
      <w:bookmarkStart w:id="32" w:name="_Toc196487551"/>
      <w:r>
        <w:rPr>
          <w:rFonts w:hint="eastAsia" w:ascii="仿宋" w:hAnsi="仿宋" w:eastAsia="仿宋"/>
          <w:color w:val="auto"/>
          <w:highlight w:val="none"/>
          <w:lang w:bidi="en-US"/>
        </w:rPr>
        <w:t>（二）主要绩效</w:t>
      </w:r>
      <w:bookmarkEnd w:id="31"/>
      <w:bookmarkEnd w:id="32"/>
    </w:p>
    <w:p w14:paraId="34888BF4">
      <w:pPr>
        <w:spacing w:line="360" w:lineRule="auto"/>
        <w:ind w:firstLine="548" w:firstLineChars="196"/>
        <w:rPr>
          <w:rFonts w:hint="eastAsia" w:ascii="仿宋_GB2312"/>
          <w:color w:val="auto"/>
          <w:highlight w:val="none"/>
          <w:lang w:val="en-US" w:eastAsia="zh-CN"/>
        </w:rPr>
      </w:pPr>
      <w:r>
        <w:rPr>
          <w:rFonts w:hint="eastAsia" w:ascii="仿宋_GB2312"/>
          <w:color w:val="auto"/>
          <w:szCs w:val="28"/>
          <w:highlight w:val="none"/>
        </w:rPr>
        <w:t>该项目资金区财政及时拨付，</w:t>
      </w:r>
      <w:r>
        <w:rPr>
          <w:rFonts w:hint="eastAsia" w:ascii="仿宋_GB2312"/>
          <w:color w:val="auto"/>
          <w:szCs w:val="28"/>
          <w:highlight w:val="none"/>
          <w:lang w:eastAsia="zh-CN"/>
        </w:rPr>
        <w:t>该项目</w:t>
      </w:r>
      <w:r>
        <w:rPr>
          <w:rFonts w:hint="eastAsia" w:ascii="仿宋_GB2312"/>
          <w:color w:val="auto"/>
          <w:szCs w:val="28"/>
          <w:highlight w:val="none"/>
        </w:rPr>
        <w:t>在此次评价期间内，有序完成设定目标的部分工作任务，</w:t>
      </w:r>
      <w:r>
        <w:rPr>
          <w:rFonts w:hint="eastAsia" w:ascii="仿宋_GB2312"/>
          <w:color w:val="auto"/>
          <w:szCs w:val="28"/>
          <w:highlight w:val="none"/>
          <w:lang w:val="en-US" w:eastAsia="zh-CN"/>
        </w:rPr>
        <w:t>具体如下：保障了</w:t>
      </w:r>
      <w:r>
        <w:rPr>
          <w:rFonts w:hint="eastAsia" w:ascii="仿宋_GB2312"/>
          <w:color w:val="auto"/>
          <w:highlight w:val="none"/>
          <w:lang w:val="en-US" w:eastAsia="zh-CN"/>
        </w:rPr>
        <w:t>我辖区12个社区日常工作有序开展，各项服务与管理工作正常推进，全年日常运转经费为81.96万元；为丰富辖区居民精神文化生活，组织开展形式多样的群众活动，全年活动场次达30次，使用经费1.18万元；为社区常态化运转提供坚实的物资保障，使社区日常办公高效运行，购置各类办公耗材达30次，使用经费11.42万元；为切实维护社区经济秩序稳定，保障合作方合法权益，优化社区营商环境，化解了基建工程、样板社区、日常运转、疫情这四类欠款合计305万元。社区工作的正常开展，提高了社区工作人员服务群众的能力和水平，充分发挥了基层工作人员的战斗堡垒作用，提高了社区工作人员落实党的各项政策，密切了党同人民群众之间的联系，使辖区群众满意度显著提高。</w:t>
      </w:r>
    </w:p>
    <w:p w14:paraId="515819E3">
      <w:pPr>
        <w:pStyle w:val="2"/>
        <w:ind w:firstLine="0" w:firstLineChars="0"/>
        <w:jc w:val="left"/>
        <w:rPr>
          <w:rFonts w:ascii="仿宋" w:hAnsi="仿宋" w:eastAsia="仿宋"/>
          <w:color w:val="auto"/>
          <w:sz w:val="36"/>
          <w:szCs w:val="36"/>
          <w:highlight w:val="none"/>
          <w:lang w:bidi="en-US"/>
        </w:rPr>
      </w:pPr>
      <w:bookmarkStart w:id="33" w:name="_Toc196487552"/>
      <w:bookmarkStart w:id="34" w:name="_Toc67911611"/>
      <w:r>
        <w:rPr>
          <w:rFonts w:hint="eastAsia" w:ascii="仿宋" w:hAnsi="仿宋" w:eastAsia="仿宋"/>
          <w:color w:val="auto"/>
          <w:sz w:val="36"/>
          <w:szCs w:val="36"/>
          <w:highlight w:val="none"/>
          <w:lang w:bidi="en-US"/>
        </w:rPr>
        <w:t>四、绩效评价指标分析</w:t>
      </w:r>
      <w:bookmarkEnd w:id="33"/>
      <w:bookmarkEnd w:id="34"/>
    </w:p>
    <w:p w14:paraId="288E1220">
      <w:pPr>
        <w:pStyle w:val="3"/>
        <w:ind w:firstLine="643"/>
        <w:rPr>
          <w:rFonts w:ascii="仿宋" w:hAnsi="仿宋" w:eastAsia="仿宋"/>
          <w:color w:val="auto"/>
          <w:highlight w:val="none"/>
          <w:lang w:bidi="en-US"/>
        </w:rPr>
      </w:pPr>
      <w:bookmarkStart w:id="35" w:name="_Toc196487553"/>
      <w:bookmarkStart w:id="36" w:name="_Toc67911612"/>
      <w:r>
        <w:rPr>
          <w:rFonts w:hint="eastAsia" w:ascii="仿宋" w:hAnsi="仿宋" w:eastAsia="仿宋"/>
          <w:color w:val="auto"/>
          <w:highlight w:val="none"/>
          <w:lang w:bidi="en-US"/>
        </w:rPr>
        <w:t>（一）项目决策情况</w:t>
      </w:r>
      <w:bookmarkEnd w:id="35"/>
      <w:bookmarkEnd w:id="36"/>
    </w:p>
    <w:p w14:paraId="2AA673D9">
      <w:pPr>
        <w:spacing w:line="360" w:lineRule="auto"/>
        <w:ind w:firstLine="560"/>
        <w:rPr>
          <w:rFonts w:ascii="仿宋_GB2312"/>
          <w:color w:val="auto"/>
          <w:szCs w:val="28"/>
          <w:highlight w:val="none"/>
        </w:rPr>
      </w:pPr>
      <w:r>
        <w:rPr>
          <w:rFonts w:hint="eastAsia" w:ascii="仿宋_GB2312"/>
          <w:color w:val="auto"/>
          <w:szCs w:val="28"/>
          <w:highlight w:val="none"/>
        </w:rPr>
        <w:t>项目决算指标由3个二级指标和6个三级指标构成，权重为</w:t>
      </w:r>
      <w:r>
        <w:rPr>
          <w:rFonts w:ascii="仿宋_GB2312"/>
          <w:color w:val="auto"/>
          <w:szCs w:val="28"/>
          <w:highlight w:val="none"/>
        </w:rPr>
        <w:t>20</w:t>
      </w:r>
      <w:r>
        <w:rPr>
          <w:rFonts w:hint="eastAsia" w:ascii="仿宋_GB2312"/>
          <w:color w:val="auto"/>
          <w:szCs w:val="28"/>
          <w:highlight w:val="none"/>
        </w:rPr>
        <w:t>分，实际得分</w:t>
      </w:r>
      <w:r>
        <w:rPr>
          <w:rFonts w:hint="eastAsia" w:ascii="仿宋_GB2312"/>
          <w:color w:val="auto"/>
          <w:szCs w:val="28"/>
          <w:highlight w:val="none"/>
          <w:lang w:val="en-US" w:eastAsia="zh-CN"/>
        </w:rPr>
        <w:t>20</w:t>
      </w:r>
      <w:r>
        <w:rPr>
          <w:rFonts w:hint="eastAsia" w:ascii="仿宋_GB2312"/>
          <w:color w:val="auto"/>
          <w:szCs w:val="28"/>
          <w:highlight w:val="none"/>
        </w:rPr>
        <w:t>分。</w:t>
      </w:r>
    </w:p>
    <w:p w14:paraId="70B45409">
      <w:pPr>
        <w:pStyle w:val="4"/>
        <w:ind w:firstLine="643"/>
        <w:rPr>
          <w:color w:val="auto"/>
          <w:highlight w:val="none"/>
        </w:rPr>
      </w:pPr>
      <w:bookmarkStart w:id="37" w:name="_Toc196487554"/>
      <w:r>
        <w:rPr>
          <w:color w:val="auto"/>
          <w:highlight w:val="none"/>
        </w:rPr>
        <w:t>1.</w:t>
      </w:r>
      <w:r>
        <w:rPr>
          <w:rFonts w:hint="eastAsia"/>
          <w:color w:val="auto"/>
          <w:highlight w:val="none"/>
        </w:rPr>
        <w:t>项目立项</w:t>
      </w:r>
      <w:bookmarkEnd w:id="37"/>
    </w:p>
    <w:p w14:paraId="795D9E92">
      <w:pPr>
        <w:spacing w:line="360" w:lineRule="auto"/>
        <w:ind w:firstLine="562"/>
        <w:rPr>
          <w:rFonts w:ascii="仿宋_GB2312"/>
          <w:color w:val="auto"/>
          <w:szCs w:val="28"/>
          <w:highlight w:val="none"/>
        </w:rPr>
      </w:pPr>
      <w:r>
        <w:rPr>
          <w:rFonts w:hint="eastAsia" w:ascii="仿宋_GB2312"/>
          <w:b/>
          <w:bCs/>
          <w:color w:val="auto"/>
          <w:szCs w:val="28"/>
          <w:highlight w:val="none"/>
        </w:rPr>
        <w:t>立项依据充分性：</w:t>
      </w:r>
      <w:r>
        <w:rPr>
          <w:rFonts w:hint="eastAsia" w:ascii="仿宋_GB2312"/>
          <w:color w:val="auto"/>
          <w:szCs w:val="28"/>
          <w:highlight w:val="none"/>
        </w:rPr>
        <w:t>项目立项符合</w:t>
      </w:r>
      <w:r>
        <w:rPr>
          <w:rFonts w:hint="eastAsia" w:ascii="仿宋_GB2312"/>
          <w:color w:val="auto"/>
          <w:szCs w:val="28"/>
          <w:highlight w:val="none"/>
          <w:lang w:val="en-US" w:eastAsia="zh-CN"/>
        </w:rPr>
        <w:t>《乌鲁木齐市社区工作经费管理使用办法（暂行）》（乌党组办字〔2012〕</w:t>
      </w:r>
      <w:r>
        <w:rPr>
          <w:rFonts w:hint="default" w:ascii="仿宋_GB2312"/>
          <w:color w:val="auto"/>
          <w:szCs w:val="28"/>
          <w:highlight w:val="none"/>
          <w:lang w:val="en-US" w:eastAsia="zh-CN"/>
        </w:rPr>
        <w:t>31</w:t>
      </w:r>
      <w:r>
        <w:rPr>
          <w:rFonts w:hint="eastAsia" w:ascii="仿宋_GB2312"/>
          <w:color w:val="auto"/>
          <w:szCs w:val="28"/>
          <w:highlight w:val="none"/>
          <w:lang w:val="en-US" w:eastAsia="zh-CN"/>
        </w:rPr>
        <w:t>号）、《乌鲁木齐市社区工作经费管理使用办法（暂行）》的补充通知（乌党组办字〔2015〕</w:t>
      </w:r>
      <w:r>
        <w:rPr>
          <w:rFonts w:hint="default" w:ascii="仿宋_GB2312"/>
          <w:color w:val="auto"/>
          <w:szCs w:val="28"/>
          <w:highlight w:val="none"/>
          <w:lang w:val="en-US" w:eastAsia="zh-CN"/>
        </w:rPr>
        <w:t>6</w:t>
      </w:r>
      <w:r>
        <w:rPr>
          <w:rFonts w:hint="eastAsia" w:ascii="仿宋_GB2312"/>
          <w:color w:val="auto"/>
          <w:szCs w:val="28"/>
          <w:highlight w:val="none"/>
          <w:lang w:val="en-US" w:eastAsia="zh-CN"/>
        </w:rPr>
        <w:t>号）等相关文件</w:t>
      </w:r>
      <w:r>
        <w:rPr>
          <w:rFonts w:hint="eastAsia" w:ascii="仿宋_GB2312"/>
          <w:color w:val="auto"/>
          <w:szCs w:val="28"/>
          <w:highlight w:val="none"/>
        </w:rPr>
        <w:t>要求。同时，项目与部门职责范围相符，</w:t>
      </w:r>
      <w:r>
        <w:rPr>
          <w:rFonts w:hint="eastAsia" w:ascii="仿宋_GB2312"/>
          <w:color w:val="auto"/>
          <w:sz w:val="28"/>
          <w:szCs w:val="28"/>
          <w:highlight w:val="none"/>
          <w:lang w:val="en-US" w:eastAsia="zh-CN"/>
        </w:rPr>
        <w:t>属于部门</w:t>
      </w:r>
      <w:r>
        <w:rPr>
          <w:rFonts w:hint="eastAsia" w:ascii="仿宋_GB2312"/>
          <w:color w:val="auto"/>
          <w:szCs w:val="28"/>
          <w:highlight w:val="none"/>
        </w:rPr>
        <w:t>履职所需。此外，本项目属于公共财政支持范围，符合中央、地方事权支出责任划分原则。因此，立项依据充分，得4分。</w:t>
      </w:r>
    </w:p>
    <w:p w14:paraId="0AE9430E">
      <w:pPr>
        <w:spacing w:line="360" w:lineRule="auto"/>
        <w:ind w:firstLine="562"/>
        <w:rPr>
          <w:rFonts w:ascii="仿宋_GB2312"/>
          <w:color w:val="auto"/>
          <w:szCs w:val="28"/>
          <w:highlight w:val="none"/>
        </w:rPr>
      </w:pPr>
      <w:r>
        <w:rPr>
          <w:rFonts w:hint="eastAsia" w:ascii="仿宋_GB2312"/>
          <w:b/>
          <w:bCs/>
          <w:color w:val="auto"/>
          <w:szCs w:val="28"/>
          <w:highlight w:val="none"/>
        </w:rPr>
        <w:t>立项程序规范性</w:t>
      </w:r>
      <w:r>
        <w:rPr>
          <w:rFonts w:ascii="仿宋_GB2312"/>
          <w:b/>
          <w:bCs/>
          <w:color w:val="auto"/>
          <w:szCs w:val="28"/>
          <w:highlight w:val="none"/>
        </w:rPr>
        <w:t>:</w:t>
      </w:r>
      <w:r>
        <w:rPr>
          <w:rFonts w:hint="eastAsia"/>
          <w:color w:val="auto"/>
          <w:highlight w:val="none"/>
        </w:rPr>
        <w:t xml:space="preserve"> </w:t>
      </w:r>
      <w:r>
        <w:rPr>
          <w:rFonts w:hint="eastAsia" w:ascii="仿宋_GB2312" w:eastAsia="仿宋_GB2312"/>
          <w:color w:val="auto"/>
          <w:sz w:val="28"/>
          <w:szCs w:val="28"/>
          <w:highlight w:val="none"/>
        </w:rPr>
        <w:t>根据</w:t>
      </w:r>
      <w:r>
        <w:rPr>
          <w:rFonts w:hint="eastAsia" w:ascii="仿宋_GB2312" w:eastAsia="仿宋_GB2312"/>
          <w:color w:val="auto"/>
          <w:sz w:val="28"/>
          <w:szCs w:val="28"/>
          <w:highlight w:val="none"/>
          <w:lang w:eastAsia="zh-CN"/>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年水磨沟区</w:t>
      </w:r>
      <w:r>
        <w:rPr>
          <w:rFonts w:hint="eastAsia" w:ascii="仿宋_GB2312" w:eastAsia="仿宋_GB2312"/>
          <w:color w:val="auto"/>
          <w:sz w:val="28"/>
          <w:szCs w:val="28"/>
          <w:highlight w:val="none"/>
          <w:lang w:eastAsia="zh-CN"/>
        </w:rPr>
        <w:t>第</w:t>
      </w:r>
      <w:r>
        <w:rPr>
          <w:rFonts w:ascii="仿宋_GB2312" w:eastAsia="仿宋_GB2312"/>
          <w:color w:val="auto"/>
          <w:sz w:val="28"/>
          <w:szCs w:val="28"/>
          <w:highlight w:val="none"/>
        </w:rPr>
        <w:t>十</w:t>
      </w:r>
      <w:r>
        <w:rPr>
          <w:rFonts w:hint="eastAsia" w:ascii="仿宋_GB2312" w:eastAsia="仿宋_GB2312"/>
          <w:color w:val="auto"/>
          <w:sz w:val="28"/>
          <w:szCs w:val="28"/>
          <w:highlight w:val="none"/>
          <w:lang w:eastAsia="zh-CN"/>
        </w:rPr>
        <w:t>七</w:t>
      </w:r>
      <w:r>
        <w:rPr>
          <w:rFonts w:ascii="仿宋_GB2312" w:eastAsia="仿宋_GB2312"/>
          <w:color w:val="auto"/>
          <w:sz w:val="28"/>
          <w:szCs w:val="28"/>
          <w:highlight w:val="none"/>
        </w:rPr>
        <w:t>届</w:t>
      </w:r>
      <w:r>
        <w:rPr>
          <w:rFonts w:hint="eastAsia" w:ascii="仿宋_GB2312" w:eastAsia="仿宋_GB2312"/>
          <w:color w:val="auto"/>
          <w:sz w:val="28"/>
          <w:szCs w:val="28"/>
          <w:highlight w:val="none"/>
          <w:lang w:eastAsia="zh-CN"/>
        </w:rPr>
        <w:t>人民代表大会第四</w:t>
      </w:r>
      <w:r>
        <w:rPr>
          <w:rFonts w:ascii="仿宋_GB2312" w:eastAsia="仿宋_GB2312"/>
          <w:color w:val="auto"/>
          <w:sz w:val="28"/>
          <w:szCs w:val="28"/>
          <w:highlight w:val="none"/>
        </w:rPr>
        <w:t>次会议</w:t>
      </w:r>
      <w:r>
        <w:rPr>
          <w:rFonts w:hint="eastAsia" w:ascii="仿宋_GB2312" w:eastAsia="仿宋_GB2312"/>
          <w:color w:val="auto"/>
          <w:sz w:val="28"/>
          <w:szCs w:val="28"/>
          <w:highlight w:val="none"/>
        </w:rPr>
        <w:t>审议通过</w:t>
      </w:r>
      <w:r>
        <w:rPr>
          <w:rFonts w:hint="eastAsia" w:ascii="仿宋_GB2312" w:eastAsia="仿宋_GB2312"/>
          <w:color w:val="auto"/>
          <w:sz w:val="28"/>
          <w:szCs w:val="28"/>
          <w:highlight w:val="none"/>
          <w:lang w:eastAsia="zh-CN"/>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年预算以及《关于下达</w:t>
      </w:r>
      <w:r>
        <w:rPr>
          <w:rFonts w:hint="eastAsia" w:ascii="仿宋_GB2312" w:eastAsia="仿宋_GB2312"/>
          <w:color w:val="auto"/>
          <w:sz w:val="28"/>
          <w:szCs w:val="28"/>
          <w:highlight w:val="none"/>
          <w:lang w:eastAsia="zh-CN"/>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年水磨沟区部门预算的通知》（水财发</w:t>
      </w:r>
      <w:r>
        <w:rPr>
          <w:rFonts w:hint="eastAsia" w:ascii="仿宋_GB2312"/>
          <w:color w:val="auto"/>
          <w:szCs w:val="28"/>
          <w:highlight w:val="none"/>
          <w:lang w:val="en-US" w:eastAsia="zh-CN"/>
        </w:rPr>
        <w:t>〔2024〕</w:t>
      </w:r>
      <w:r>
        <w:rPr>
          <w:rFonts w:hint="eastAsia" w:ascii="仿宋_GB2312" w:eastAsia="仿宋_GB2312"/>
          <w:color w:val="auto"/>
          <w:sz w:val="28"/>
          <w:szCs w:val="28"/>
          <w:highlight w:val="none"/>
          <w:lang w:val="en-US" w:eastAsia="zh-CN"/>
        </w:rPr>
        <w:t>20</w:t>
      </w:r>
      <w:r>
        <w:rPr>
          <w:rFonts w:hint="eastAsia" w:ascii="仿宋_GB2312" w:eastAsia="仿宋_GB2312"/>
          <w:color w:val="auto"/>
          <w:sz w:val="28"/>
          <w:szCs w:val="28"/>
          <w:highlight w:val="none"/>
        </w:rPr>
        <w:t>号）文件精神</w:t>
      </w:r>
      <w:r>
        <w:rPr>
          <w:rFonts w:hint="eastAsia" w:ascii="仿宋_GB2312"/>
          <w:color w:val="auto"/>
          <w:sz w:val="28"/>
          <w:szCs w:val="28"/>
          <w:highlight w:val="none"/>
          <w:lang w:eastAsia="zh-CN"/>
        </w:rPr>
        <w:t>，</w:t>
      </w:r>
      <w:r>
        <w:rPr>
          <w:rFonts w:hint="eastAsia" w:ascii="仿宋_GB2312"/>
          <w:color w:val="auto"/>
          <w:szCs w:val="28"/>
          <w:highlight w:val="none"/>
        </w:rPr>
        <w:t>项目按照规定的程序申请设立，审批文件、材料符合相关要求，故立项程序规范，得4分。</w:t>
      </w:r>
    </w:p>
    <w:p w14:paraId="0B061F7B">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8</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8</w:t>
      </w:r>
      <w:r>
        <w:rPr>
          <w:rFonts w:hint="eastAsia" w:ascii="仿宋_GB2312" w:hAnsi="仿宋" w:cs="宋体"/>
          <w:b/>
          <w:color w:val="auto"/>
          <w:kern w:val="0"/>
          <w:szCs w:val="28"/>
          <w:highlight w:val="none"/>
        </w:rPr>
        <w:t>分。</w:t>
      </w:r>
    </w:p>
    <w:p w14:paraId="200F827F">
      <w:pPr>
        <w:pStyle w:val="4"/>
        <w:ind w:firstLine="643"/>
        <w:rPr>
          <w:color w:val="auto"/>
          <w:highlight w:val="none"/>
        </w:rPr>
      </w:pPr>
      <w:bookmarkStart w:id="38" w:name="_Toc196487555"/>
      <w:r>
        <w:rPr>
          <w:rFonts w:hint="eastAsia"/>
          <w:color w:val="auto"/>
          <w:highlight w:val="none"/>
        </w:rPr>
        <w:t>2</w:t>
      </w:r>
      <w:r>
        <w:rPr>
          <w:color w:val="auto"/>
          <w:highlight w:val="none"/>
        </w:rPr>
        <w:t>.</w:t>
      </w:r>
      <w:r>
        <w:rPr>
          <w:rFonts w:hint="eastAsia"/>
          <w:color w:val="auto"/>
          <w:highlight w:val="none"/>
        </w:rPr>
        <w:t>绩效目标</w:t>
      </w:r>
      <w:bookmarkEnd w:id="38"/>
    </w:p>
    <w:p w14:paraId="58C26A1E">
      <w:pPr>
        <w:spacing w:line="360" w:lineRule="auto"/>
        <w:ind w:firstLine="562"/>
        <w:rPr>
          <w:rFonts w:ascii="仿宋_GB2312"/>
          <w:color w:val="auto"/>
          <w:szCs w:val="28"/>
          <w:highlight w:val="none"/>
        </w:rPr>
      </w:pPr>
      <w:r>
        <w:rPr>
          <w:rFonts w:hint="eastAsia" w:ascii="仿宋_GB2312"/>
          <w:b/>
          <w:bCs/>
          <w:color w:val="auto"/>
          <w:szCs w:val="28"/>
          <w:highlight w:val="none"/>
        </w:rPr>
        <w:t>绩效目标合理性：</w:t>
      </w:r>
      <w:r>
        <w:rPr>
          <w:rFonts w:hint="eastAsia" w:ascii="仿宋_GB2312"/>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color w:val="auto"/>
          <w:szCs w:val="28"/>
          <w:highlight w:val="none"/>
        </w:rPr>
        <w:t>3</w:t>
      </w:r>
      <w:r>
        <w:rPr>
          <w:rFonts w:hint="eastAsia" w:ascii="仿宋_GB2312"/>
          <w:color w:val="auto"/>
          <w:szCs w:val="28"/>
          <w:highlight w:val="none"/>
        </w:rPr>
        <w:t>分。</w:t>
      </w:r>
    </w:p>
    <w:p w14:paraId="58BA4B3E">
      <w:pPr>
        <w:autoSpaceDE w:val="0"/>
        <w:spacing w:line="600" w:lineRule="exact"/>
        <w:ind w:firstLine="562"/>
        <w:rPr>
          <w:rFonts w:ascii="仿宋_GB2312" w:hAnsi="仿宋" w:cs="宋体"/>
          <w:color w:val="auto"/>
          <w:kern w:val="0"/>
          <w:szCs w:val="28"/>
          <w:highlight w:val="none"/>
        </w:rPr>
      </w:pPr>
      <w:r>
        <w:rPr>
          <w:rFonts w:hint="eastAsia" w:ascii="仿宋_GB2312" w:hAnsi="仿宋" w:cs="宋体"/>
          <w:b/>
          <w:color w:val="auto"/>
          <w:kern w:val="0"/>
          <w:szCs w:val="28"/>
          <w:highlight w:val="none"/>
        </w:rPr>
        <w:t>绩效目标明确性：</w:t>
      </w:r>
      <w:r>
        <w:rPr>
          <w:rFonts w:hint="eastAsia" w:ascii="仿宋_GB2312"/>
          <w:color w:val="auto"/>
          <w:szCs w:val="28"/>
          <w:highlight w:val="none"/>
        </w:rPr>
        <w:t>其中，目标已细化为具体的绩效指标</w:t>
      </w:r>
      <w:r>
        <w:rPr>
          <w:rFonts w:hint="eastAsia" w:ascii="仿宋_GB2312"/>
          <w:color w:val="auto"/>
          <w:szCs w:val="28"/>
          <w:highlight w:val="none"/>
          <w:lang w:eastAsia="zh-CN"/>
        </w:rPr>
        <w:t>，</w:t>
      </w:r>
      <w:r>
        <w:rPr>
          <w:rFonts w:hint="eastAsia" w:ascii="仿宋_GB2312"/>
          <w:color w:val="auto"/>
          <w:szCs w:val="28"/>
          <w:highlight w:val="none"/>
          <w:lang w:val="en-US" w:eastAsia="zh-CN"/>
        </w:rPr>
        <w:t>明确了我街道社区数量及经费标准，按实际情况支付各社区水费、电费、电话费、暖气费等日常运行开支和耗材支出，保障社区平稳运行；通过开展党建服务、文化活动、民生支出等群众活动及化解社区历年欠款，起到了促进社会和谐的重要作用，并有效提高社区工作人员工作效率，提高辖区居民满意度。</w:t>
      </w:r>
      <w:r>
        <w:rPr>
          <w:rFonts w:hint="eastAsia" w:ascii="仿宋_GB2312" w:hAnsi="仿宋" w:cs="宋体"/>
          <w:color w:val="auto"/>
          <w:kern w:val="0"/>
          <w:szCs w:val="28"/>
          <w:highlight w:val="none"/>
        </w:rPr>
        <w:t>可通过数量指标、质量指标和成本指标予以量化，并具有确切的评价标准，且指标设定均与目标相关。各项指标均能在现实条件下收集到相关数据进行佐证</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通过</w:t>
      </w:r>
      <w:r>
        <w:rPr>
          <w:rFonts w:hint="eastAsia" w:ascii="仿宋_GB2312" w:hAnsi="仿宋" w:cs="宋体"/>
          <w:color w:val="auto"/>
          <w:kern w:val="0"/>
          <w:szCs w:val="28"/>
          <w:highlight w:val="none"/>
          <w:lang w:val="en-US" w:eastAsia="zh-CN"/>
        </w:rPr>
        <w:t>调查问卷的方式，向社区工作人员及辖区居民征集满意度调查等</w:t>
      </w:r>
      <w:r>
        <w:rPr>
          <w:rFonts w:hint="eastAsia" w:ascii="仿宋_GB2312" w:hAnsi="仿宋" w:cs="宋体"/>
          <w:color w:val="auto"/>
          <w:kern w:val="0"/>
          <w:szCs w:val="28"/>
          <w:highlight w:val="none"/>
        </w:rPr>
        <w:t>，并与当年项目年度计划相对应，故绩效目标明确性指标得分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14:paraId="3F04CD64">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6</w:t>
      </w:r>
      <w:r>
        <w:rPr>
          <w:rFonts w:hint="eastAsia" w:ascii="仿宋_GB2312" w:hAnsi="仿宋" w:cs="宋体"/>
          <w:b/>
          <w:color w:val="auto"/>
          <w:kern w:val="0"/>
          <w:szCs w:val="28"/>
          <w:highlight w:val="none"/>
        </w:rPr>
        <w:t>分。</w:t>
      </w:r>
    </w:p>
    <w:p w14:paraId="46E8F1CD">
      <w:pPr>
        <w:pStyle w:val="4"/>
        <w:ind w:firstLine="643"/>
        <w:rPr>
          <w:color w:val="auto"/>
          <w:highlight w:val="none"/>
        </w:rPr>
      </w:pPr>
      <w:bookmarkStart w:id="39" w:name="_Toc196487556"/>
      <w:r>
        <w:rPr>
          <w:rFonts w:hint="eastAsia"/>
          <w:color w:val="auto"/>
          <w:highlight w:val="none"/>
        </w:rPr>
        <w:t>3.资金投入</w:t>
      </w:r>
      <w:bookmarkEnd w:id="39"/>
    </w:p>
    <w:p w14:paraId="3815A7AB">
      <w:pPr>
        <w:autoSpaceDE w:val="0"/>
        <w:spacing w:line="600" w:lineRule="exact"/>
        <w:ind w:firstLine="562"/>
        <w:rPr>
          <w:rFonts w:hint="eastAsia" w:ascii="仿宋_GB2312"/>
          <w:color w:val="auto"/>
          <w:szCs w:val="28"/>
          <w:highlight w:val="none"/>
          <w:lang w:val="en-US" w:eastAsia="zh-CN"/>
        </w:rPr>
      </w:pPr>
      <w:r>
        <w:rPr>
          <w:rFonts w:hint="eastAsia" w:ascii="仿宋_GB2312"/>
          <w:b/>
          <w:bCs/>
          <w:color w:val="auto"/>
          <w:szCs w:val="28"/>
          <w:highlight w:val="none"/>
          <w:lang w:val="en-US" w:eastAsia="zh-CN"/>
        </w:rPr>
        <w:t>预算编制科学性：</w:t>
      </w:r>
      <w:r>
        <w:rPr>
          <w:rFonts w:hint="eastAsia" w:ascii="仿宋_GB2312"/>
          <w:color w:val="auto"/>
          <w:szCs w:val="28"/>
          <w:highlight w:val="none"/>
          <w:lang w:val="en-US" w:eastAsia="zh-CN"/>
        </w:rPr>
        <w:t>社区经费（80%）项目用于辖区12个社区日常工作运转支出，用于租赁费、水电暖、办公经费、服务群众等工作，为辖区居民提供民生保障、社会治安、城市管理等综合服务。其中，9个一般社区，每个社区全年工作经费为50万元，小计9×50＝450万元；3个重点社区，每个社区全年工作经费为60万元，小计3×60＝180万元。因此，社区经费总额合计630万元，实际拨付630×80%＝504万元。故预算编制科学性指标得分3分。</w:t>
      </w:r>
    </w:p>
    <w:p w14:paraId="17E11A74">
      <w:pPr>
        <w:autoSpaceDE w:val="0"/>
        <w:spacing w:line="600" w:lineRule="exact"/>
        <w:ind w:firstLine="562"/>
        <w:rPr>
          <w:rFonts w:hint="eastAsia" w:ascii="仿宋_GB2312" w:hAnsi="仿宋" w:cs="宋体"/>
          <w:color w:val="auto"/>
          <w:kern w:val="0"/>
          <w:szCs w:val="28"/>
          <w:highlight w:val="none"/>
          <w:lang w:eastAsia="zh-CN"/>
        </w:rPr>
      </w:pPr>
      <w:r>
        <w:rPr>
          <w:rFonts w:hint="eastAsia" w:ascii="仿宋_GB2312"/>
          <w:b/>
          <w:bCs/>
          <w:color w:val="auto"/>
          <w:szCs w:val="28"/>
          <w:highlight w:val="none"/>
          <w:lang w:val="en-US" w:eastAsia="zh-CN"/>
        </w:rPr>
        <w:t>资金分配合理性：</w:t>
      </w:r>
      <w:r>
        <w:rPr>
          <w:rFonts w:hint="eastAsia" w:ascii="仿宋_GB2312"/>
          <w:color w:val="auto"/>
          <w:szCs w:val="28"/>
          <w:highlight w:val="none"/>
          <w:lang w:val="en-US" w:eastAsia="zh-CN"/>
        </w:rPr>
        <w:t>社区经费根据各社区实际支出，包括办公用品、水、电、暖、车辆等日常开支及群众活动、办公耗材、化解社区欠款 等社区相关工作开支，同时社区经费中含文化室（中心）年文化活动经费，每个社区1万元；含安全生产经费，</w:t>
      </w:r>
      <w:r>
        <w:rPr>
          <w:rFonts w:hint="eastAsia" w:ascii="仿宋_GB2312" w:hAnsi="仿宋" w:cs="宋体"/>
          <w:color w:val="auto"/>
          <w:kern w:val="0"/>
          <w:szCs w:val="28"/>
          <w:highlight w:val="none"/>
        </w:rPr>
        <w:t>每个社区1万元</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含妇联专项工作经费</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每个社区1万元</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lang w:val="en-US" w:eastAsia="zh-CN"/>
        </w:rPr>
        <w:t>资金预算内容与项目内容匹配，预算额度测算依据充分，按照标准编制，预算确定的项目投资额或资金量与工作任务相匹配；预算资金分配依据充分，资金分配额度合理资金分配合理。</w:t>
      </w:r>
      <w:r>
        <w:rPr>
          <w:rFonts w:hint="eastAsia" w:ascii="仿宋_GB2312" w:hAnsi="仿宋" w:cs="宋体"/>
          <w:color w:val="auto"/>
          <w:kern w:val="0"/>
          <w:szCs w:val="28"/>
          <w:highlight w:val="none"/>
          <w:lang w:eastAsia="zh-CN"/>
        </w:rPr>
        <w:t>故资金分配合理性指标得分3分。</w:t>
      </w:r>
    </w:p>
    <w:p w14:paraId="736BA9B6">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6</w:t>
      </w:r>
      <w:r>
        <w:rPr>
          <w:rFonts w:hint="eastAsia" w:ascii="仿宋_GB2312" w:hAnsi="仿宋" w:cs="宋体"/>
          <w:b/>
          <w:color w:val="auto"/>
          <w:kern w:val="0"/>
          <w:szCs w:val="28"/>
          <w:highlight w:val="none"/>
        </w:rPr>
        <w:t>分。</w:t>
      </w:r>
    </w:p>
    <w:p w14:paraId="7CF9A316">
      <w:pPr>
        <w:pStyle w:val="3"/>
        <w:ind w:firstLine="643"/>
        <w:rPr>
          <w:rFonts w:ascii="仿宋" w:hAnsi="仿宋" w:eastAsia="仿宋"/>
          <w:color w:val="auto"/>
          <w:highlight w:val="none"/>
          <w:lang w:bidi="en-US"/>
        </w:rPr>
      </w:pPr>
      <w:bookmarkStart w:id="40" w:name="_Toc196487557"/>
      <w:bookmarkStart w:id="41" w:name="_Toc67911613"/>
      <w:r>
        <w:rPr>
          <w:rFonts w:hint="eastAsia" w:ascii="仿宋" w:hAnsi="仿宋" w:eastAsia="仿宋"/>
          <w:color w:val="auto"/>
          <w:highlight w:val="none"/>
          <w:lang w:bidi="en-US"/>
        </w:rPr>
        <w:t>（二）项目过程情况</w:t>
      </w:r>
      <w:bookmarkEnd w:id="40"/>
      <w:bookmarkEnd w:id="41"/>
    </w:p>
    <w:p w14:paraId="04526BC5">
      <w:pPr>
        <w:spacing w:line="360" w:lineRule="auto"/>
        <w:ind w:firstLine="560"/>
        <w:rPr>
          <w:rFonts w:ascii="仿宋_GB2312"/>
          <w:color w:val="auto"/>
          <w:szCs w:val="28"/>
          <w:highlight w:val="none"/>
        </w:rPr>
      </w:pPr>
      <w:r>
        <w:rPr>
          <w:rFonts w:hint="eastAsia" w:ascii="仿宋_GB2312"/>
          <w:color w:val="auto"/>
          <w:szCs w:val="28"/>
          <w:highlight w:val="none"/>
        </w:rPr>
        <w:t>项目过程指标由2个二级指标和</w:t>
      </w:r>
      <w:r>
        <w:rPr>
          <w:rFonts w:ascii="仿宋_GB2312"/>
          <w:color w:val="auto"/>
          <w:szCs w:val="28"/>
          <w:highlight w:val="none"/>
        </w:rPr>
        <w:t>5</w:t>
      </w:r>
      <w:r>
        <w:rPr>
          <w:rFonts w:hint="eastAsia" w:ascii="仿宋_GB2312"/>
          <w:color w:val="auto"/>
          <w:szCs w:val="28"/>
          <w:highlight w:val="none"/>
        </w:rPr>
        <w:t>个三级指标构成，权重为</w:t>
      </w:r>
      <w:r>
        <w:rPr>
          <w:rFonts w:ascii="仿宋_GB2312"/>
          <w:color w:val="auto"/>
          <w:szCs w:val="28"/>
          <w:highlight w:val="none"/>
        </w:rPr>
        <w:t>20</w:t>
      </w:r>
      <w:r>
        <w:rPr>
          <w:rFonts w:hint="eastAsia" w:ascii="仿宋_GB2312"/>
          <w:color w:val="auto"/>
          <w:szCs w:val="28"/>
          <w:highlight w:val="none"/>
        </w:rPr>
        <w:t>分，实际得分</w:t>
      </w:r>
      <w:r>
        <w:rPr>
          <w:rFonts w:hint="eastAsia" w:ascii="仿宋_GB2312"/>
          <w:color w:val="auto"/>
          <w:szCs w:val="28"/>
          <w:highlight w:val="none"/>
          <w:lang w:val="en-US" w:eastAsia="zh-CN"/>
        </w:rPr>
        <w:t>18.96</w:t>
      </w:r>
      <w:r>
        <w:rPr>
          <w:rFonts w:hint="eastAsia" w:ascii="仿宋_GB2312"/>
          <w:color w:val="auto"/>
          <w:szCs w:val="28"/>
          <w:highlight w:val="none"/>
        </w:rPr>
        <w:t>分。</w:t>
      </w:r>
    </w:p>
    <w:p w14:paraId="07C248B6">
      <w:pPr>
        <w:pStyle w:val="4"/>
        <w:ind w:firstLine="643"/>
        <w:rPr>
          <w:color w:val="auto"/>
          <w:highlight w:val="none"/>
        </w:rPr>
      </w:pPr>
      <w:bookmarkStart w:id="42" w:name="_Toc196487558"/>
      <w:r>
        <w:rPr>
          <w:color w:val="auto"/>
          <w:highlight w:val="none"/>
        </w:rPr>
        <w:t>1.</w:t>
      </w:r>
      <w:r>
        <w:rPr>
          <w:rFonts w:hint="eastAsia"/>
          <w:color w:val="auto"/>
          <w:highlight w:val="none"/>
        </w:rPr>
        <w:t>资金管理</w:t>
      </w:r>
      <w:bookmarkEnd w:id="42"/>
    </w:p>
    <w:p w14:paraId="4CC16CF1">
      <w:pPr>
        <w:spacing w:line="360" w:lineRule="auto"/>
        <w:ind w:firstLine="562"/>
        <w:rPr>
          <w:rFonts w:ascii="仿宋_GB2312"/>
          <w:color w:val="auto"/>
          <w:szCs w:val="28"/>
          <w:highlight w:val="none"/>
        </w:rPr>
      </w:pPr>
      <w:r>
        <w:rPr>
          <w:rFonts w:hint="eastAsia" w:ascii="仿宋_GB2312"/>
          <w:b/>
          <w:bCs/>
          <w:color w:val="auto"/>
          <w:szCs w:val="28"/>
          <w:highlight w:val="none"/>
        </w:rPr>
        <w:t>资金到位率：</w:t>
      </w:r>
      <w:r>
        <w:rPr>
          <w:rFonts w:hint="eastAsia" w:ascii="仿宋_GB2312"/>
          <w:color w:val="auto"/>
          <w:szCs w:val="28"/>
          <w:highlight w:val="none"/>
          <w:lang w:val="en-US" w:eastAsia="zh-CN"/>
        </w:rPr>
        <w:t>经</w:t>
      </w:r>
      <w:r>
        <w:rPr>
          <w:rFonts w:hint="eastAsia" w:ascii="仿宋_GB2312" w:eastAsia="仿宋_GB2312"/>
          <w:color w:val="auto"/>
          <w:sz w:val="28"/>
          <w:szCs w:val="28"/>
          <w:highlight w:val="none"/>
        </w:rPr>
        <w:t>水财发</w:t>
      </w:r>
      <w:r>
        <w:rPr>
          <w:rFonts w:hint="eastAsia" w:ascii="仿宋_GB2312"/>
          <w:color w:val="auto"/>
          <w:szCs w:val="28"/>
          <w:highlight w:val="none"/>
          <w:lang w:val="en-US" w:eastAsia="zh-CN"/>
        </w:rPr>
        <w:t>〔2024〕</w:t>
      </w:r>
      <w:r>
        <w:rPr>
          <w:rFonts w:hint="eastAsia" w:ascii="仿宋_GB2312" w:eastAsia="仿宋_GB2312"/>
          <w:color w:val="auto"/>
          <w:sz w:val="28"/>
          <w:szCs w:val="28"/>
          <w:highlight w:val="none"/>
          <w:lang w:val="en-US" w:eastAsia="zh-CN"/>
        </w:rPr>
        <w:t>20</w:t>
      </w:r>
      <w:r>
        <w:rPr>
          <w:rFonts w:hint="eastAsia" w:ascii="仿宋_GB2312"/>
          <w:color w:val="auto"/>
          <w:szCs w:val="28"/>
          <w:highlight w:val="none"/>
          <w:lang w:val="en-US" w:eastAsia="zh-CN"/>
        </w:rPr>
        <w:t>号《关于下达2024年水磨沟区部门预算的通知》文件批准，</w:t>
      </w:r>
      <w:r>
        <w:rPr>
          <w:rFonts w:hint="eastAsia" w:ascii="仿宋_GB2312"/>
          <w:b w:val="0"/>
          <w:bCs w:val="0"/>
          <w:color w:val="auto"/>
          <w:szCs w:val="28"/>
          <w:highlight w:val="none"/>
          <w:lang w:val="en-US" w:eastAsia="zh-CN"/>
        </w:rPr>
        <w:t>该项目资金由财政拨付，</w:t>
      </w:r>
      <w:r>
        <w:rPr>
          <w:rFonts w:hint="default" w:ascii="仿宋_GB2312"/>
          <w:b w:val="0"/>
          <w:bCs w:val="0"/>
          <w:color w:val="auto"/>
          <w:szCs w:val="28"/>
          <w:highlight w:val="none"/>
          <w:lang w:eastAsia="zh-CN"/>
        </w:rPr>
        <w:t>于</w:t>
      </w:r>
      <w:r>
        <w:rPr>
          <w:rFonts w:hint="eastAsia" w:ascii="仿宋_GB2312"/>
          <w:b w:val="0"/>
          <w:bCs w:val="0"/>
          <w:color w:val="auto"/>
          <w:szCs w:val="28"/>
          <w:highlight w:val="none"/>
          <w:lang w:val="en-US" w:eastAsia="zh-CN"/>
        </w:rPr>
        <w:t>2024年2月8日到位</w:t>
      </w:r>
      <w:r>
        <w:rPr>
          <w:rFonts w:hint="default" w:ascii="仿宋_GB2312"/>
          <w:b w:val="0"/>
          <w:bCs w:val="0"/>
          <w:color w:val="auto"/>
          <w:szCs w:val="28"/>
          <w:highlight w:val="none"/>
          <w:lang w:eastAsia="zh-CN"/>
        </w:rPr>
        <w:t>。</w:t>
      </w:r>
      <w:r>
        <w:rPr>
          <w:rFonts w:hint="eastAsia" w:ascii="仿宋_GB2312" w:hAnsi="仿宋" w:cs="宋体"/>
          <w:color w:val="auto"/>
          <w:kern w:val="0"/>
          <w:szCs w:val="28"/>
          <w:highlight w:val="none"/>
        </w:rPr>
        <w:t>资金</w:t>
      </w:r>
      <w:r>
        <w:rPr>
          <w:rFonts w:hint="eastAsia" w:ascii="仿宋_GB2312" w:hAnsi="仿宋" w:cs="宋体"/>
          <w:color w:val="auto"/>
          <w:kern w:val="0"/>
          <w:szCs w:val="28"/>
          <w:highlight w:val="none"/>
          <w:lang w:eastAsia="zh-CN"/>
        </w:rPr>
        <w:t>下达后，</w:t>
      </w:r>
      <w:r>
        <w:rPr>
          <w:rFonts w:hint="eastAsia" w:ascii="仿宋_GB2312"/>
          <w:color w:val="auto"/>
          <w:highlight w:val="none"/>
          <w:lang w:eastAsia="zh-CN"/>
        </w:rPr>
        <w:t>根据本单位财务制度、预算资金支出制度、物品采购相关文件及制度等各项相关规定进行相关采购及支付审批工作。</w:t>
      </w:r>
      <w:r>
        <w:rPr>
          <w:rFonts w:hint="eastAsia" w:ascii="仿宋_GB2312" w:hAnsi="仿宋" w:cs="宋体"/>
          <w:b w:val="0"/>
          <w:bCs/>
          <w:color w:val="auto"/>
          <w:kern w:val="0"/>
          <w:szCs w:val="28"/>
          <w:highlight w:val="none"/>
          <w:lang w:eastAsia="zh-CN"/>
        </w:rPr>
        <w:t>年初预算资金为</w:t>
      </w:r>
      <w:r>
        <w:rPr>
          <w:rFonts w:hint="eastAsia" w:ascii="仿宋_GB2312"/>
          <w:color w:val="auto"/>
          <w:szCs w:val="28"/>
          <w:highlight w:val="none"/>
          <w:lang w:val="en-US" w:eastAsia="zh-CN"/>
        </w:rPr>
        <w:t>504</w:t>
      </w:r>
      <w:r>
        <w:rPr>
          <w:rFonts w:hint="eastAsia" w:ascii="仿宋_GB2312"/>
          <w:color w:val="auto"/>
          <w:szCs w:val="28"/>
          <w:highlight w:val="none"/>
        </w:rPr>
        <w:t>万元，</w:t>
      </w:r>
      <w:r>
        <w:rPr>
          <w:rFonts w:hint="eastAsia" w:ascii="仿宋_GB2312"/>
          <w:color w:val="auto"/>
          <w:szCs w:val="28"/>
          <w:highlight w:val="none"/>
          <w:lang w:val="en-US" w:eastAsia="zh-CN"/>
        </w:rPr>
        <w:t>资金到位</w:t>
      </w:r>
      <w:r>
        <w:rPr>
          <w:rFonts w:hint="default" w:ascii="仿宋_GB2312"/>
          <w:color w:val="auto"/>
          <w:szCs w:val="28"/>
          <w:highlight w:val="none"/>
          <w:lang w:eastAsia="zh-CN"/>
        </w:rPr>
        <w:t>504</w:t>
      </w:r>
      <w:r>
        <w:rPr>
          <w:rFonts w:hint="eastAsia" w:ascii="仿宋_GB2312"/>
          <w:color w:val="auto"/>
          <w:szCs w:val="28"/>
          <w:highlight w:val="none"/>
          <w:lang w:val="en-US" w:eastAsia="zh-CN"/>
        </w:rPr>
        <w:t>万元，资金到位率100%。</w:t>
      </w:r>
      <w:r>
        <w:rPr>
          <w:rFonts w:hint="eastAsia" w:ascii="仿宋_GB2312"/>
          <w:color w:val="auto"/>
          <w:szCs w:val="28"/>
          <w:highlight w:val="none"/>
        </w:rPr>
        <w:t>故资金到位率指标得分</w:t>
      </w:r>
      <w:r>
        <w:rPr>
          <w:rFonts w:hint="eastAsia" w:ascii="仿宋_GB2312"/>
          <w:color w:val="auto"/>
          <w:szCs w:val="28"/>
          <w:highlight w:val="none"/>
          <w:lang w:val="en-US" w:eastAsia="zh-CN"/>
        </w:rPr>
        <w:t>5</w:t>
      </w:r>
      <w:r>
        <w:rPr>
          <w:rFonts w:hint="eastAsia" w:ascii="仿宋_GB2312"/>
          <w:color w:val="auto"/>
          <w:szCs w:val="28"/>
          <w:highlight w:val="none"/>
        </w:rPr>
        <w:t>分。</w:t>
      </w:r>
    </w:p>
    <w:p w14:paraId="72A8D77A">
      <w:pPr>
        <w:spacing w:line="360" w:lineRule="auto"/>
        <w:ind w:firstLine="562"/>
        <w:rPr>
          <w:rFonts w:hint="eastAsia" w:ascii="仿宋_GB2312"/>
          <w:color w:val="auto"/>
          <w:szCs w:val="28"/>
          <w:highlight w:val="none"/>
          <w:lang w:val="en-US" w:eastAsia="zh-CN"/>
        </w:rPr>
      </w:pPr>
      <w:r>
        <w:rPr>
          <w:rFonts w:hint="eastAsia" w:ascii="仿宋_GB2312"/>
          <w:b/>
          <w:bCs/>
          <w:color w:val="auto"/>
          <w:szCs w:val="28"/>
          <w:highlight w:val="none"/>
        </w:rPr>
        <w:t>预算执行率：</w:t>
      </w:r>
      <w:r>
        <w:rPr>
          <w:rFonts w:hint="eastAsia" w:ascii="仿宋_GB2312"/>
          <w:color w:val="auto"/>
          <w:szCs w:val="28"/>
          <w:highlight w:val="none"/>
          <w:lang w:val="en-US" w:eastAsia="zh-CN"/>
        </w:rPr>
        <w:t>根据各社区实际情况，按照社区经费管理办法，及时报销支付，符合要求及财务规定的支出，按月及时报销，避免账务积压，按发票供应商直接支付给对方单位，减少现金支付。分配合理，执行有效。项目预算资金504万元，实际执行399.56万元，预算执行率79.28%。故预算执行率得分为3.96分。</w:t>
      </w:r>
    </w:p>
    <w:p w14:paraId="3D95756D">
      <w:pPr>
        <w:spacing w:line="360" w:lineRule="auto"/>
        <w:ind w:firstLine="562"/>
        <w:rPr>
          <w:rFonts w:hint="eastAsia" w:ascii="仿宋_GB2312"/>
          <w:color w:val="auto"/>
          <w:szCs w:val="28"/>
          <w:highlight w:val="none"/>
          <w:lang w:val="en-US" w:eastAsia="zh-CN"/>
        </w:rPr>
      </w:pPr>
      <w:r>
        <w:rPr>
          <w:rFonts w:hint="eastAsia" w:ascii="仿宋_GB2312"/>
          <w:b/>
          <w:bCs/>
          <w:color w:val="auto"/>
          <w:szCs w:val="28"/>
          <w:highlight w:val="none"/>
        </w:rPr>
        <w:t>资金使用合规性：</w:t>
      </w:r>
      <w:r>
        <w:rPr>
          <w:rFonts w:hint="eastAsia" w:ascii="仿宋_GB2312"/>
          <w:color w:val="auto"/>
          <w:szCs w:val="28"/>
          <w:highlight w:val="none"/>
        </w:rPr>
        <w:t>本</w:t>
      </w:r>
      <w:r>
        <w:rPr>
          <w:rFonts w:hint="eastAsia" w:ascii="仿宋_GB2312" w:hAnsi="仿宋" w:cs="宋体"/>
          <w:color w:val="auto"/>
          <w:kern w:val="0"/>
          <w:szCs w:val="28"/>
          <w:highlight w:val="none"/>
          <w:lang w:eastAsia="zh-CN"/>
        </w:rPr>
        <w:t>项目资金的使用符合国家财经法规和财务管</w:t>
      </w:r>
      <w:r>
        <w:rPr>
          <w:rFonts w:hint="eastAsia" w:ascii="仿宋_GB2312"/>
          <w:color w:val="auto"/>
          <w:szCs w:val="28"/>
          <w:highlight w:val="none"/>
          <w:lang w:val="en-US" w:eastAsia="zh-CN"/>
        </w:rPr>
        <w:t>理制度以及有关专项资金管理办法的规定。同时，资金的拨付有完整的审批程序，需要提供《经费使用报备单》、《水磨沟区基本建设项目资金支付审批表》、发票、合同、验收单等手续，符合项目预算批复或合同规定的用途，不存在截留、挤占、挪用、虚列支出等情况。故资金使用合规性得分为3分。</w:t>
      </w:r>
    </w:p>
    <w:p w14:paraId="35F42DFD">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13</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11.96</w:t>
      </w:r>
      <w:r>
        <w:rPr>
          <w:rFonts w:hint="eastAsia" w:ascii="仿宋_GB2312" w:hAnsi="仿宋" w:cs="宋体"/>
          <w:b/>
          <w:color w:val="auto"/>
          <w:kern w:val="0"/>
          <w:szCs w:val="28"/>
          <w:highlight w:val="none"/>
        </w:rPr>
        <w:t>分。</w:t>
      </w:r>
    </w:p>
    <w:p w14:paraId="23CA1991">
      <w:pPr>
        <w:pStyle w:val="4"/>
        <w:ind w:firstLine="643"/>
        <w:rPr>
          <w:color w:val="auto"/>
          <w:highlight w:val="none"/>
        </w:rPr>
      </w:pPr>
      <w:bookmarkStart w:id="43" w:name="_Toc196487559"/>
      <w:r>
        <w:rPr>
          <w:color w:val="auto"/>
          <w:highlight w:val="none"/>
        </w:rPr>
        <w:t>2.</w:t>
      </w:r>
      <w:r>
        <w:rPr>
          <w:rFonts w:hint="eastAsia"/>
          <w:color w:val="auto"/>
          <w:highlight w:val="none"/>
        </w:rPr>
        <w:t>组织实施</w:t>
      </w:r>
      <w:bookmarkEnd w:id="43"/>
    </w:p>
    <w:p w14:paraId="56E4BE76">
      <w:pPr>
        <w:spacing w:line="360" w:lineRule="auto"/>
        <w:ind w:firstLine="562"/>
        <w:rPr>
          <w:rFonts w:ascii="仿宋_GB2312"/>
          <w:color w:val="auto"/>
          <w:szCs w:val="28"/>
          <w:highlight w:val="none"/>
        </w:rPr>
      </w:pPr>
      <w:r>
        <w:rPr>
          <w:rFonts w:hint="eastAsia" w:ascii="仿宋_GB2312"/>
          <w:b/>
          <w:bCs/>
          <w:color w:val="auto"/>
          <w:szCs w:val="28"/>
          <w:highlight w:val="none"/>
        </w:rPr>
        <w:t>管理制度健全性</w:t>
      </w:r>
      <w:r>
        <w:rPr>
          <w:rFonts w:hint="eastAsia" w:ascii="仿宋_GB2312"/>
          <w:color w:val="auto"/>
          <w:szCs w:val="28"/>
          <w:highlight w:val="none"/>
        </w:rPr>
        <w:t>：</w:t>
      </w:r>
      <w:r>
        <w:rPr>
          <w:rFonts w:hint="eastAsia" w:ascii="仿宋_GB2312"/>
          <w:color w:val="auto"/>
          <w:szCs w:val="28"/>
          <w:highlight w:val="none"/>
          <w:lang w:val="en-US" w:eastAsia="zh-CN"/>
        </w:rPr>
        <w:t>乌鲁木齐市水磨沟区水磨沟街道办事处</w:t>
      </w:r>
      <w:r>
        <w:rPr>
          <w:rFonts w:hint="eastAsia" w:ascii="仿宋_GB2312"/>
          <w:color w:val="auto"/>
          <w:szCs w:val="28"/>
          <w:highlight w:val="none"/>
        </w:rPr>
        <w:t>制定相应的</w:t>
      </w:r>
      <w:r>
        <w:rPr>
          <w:rFonts w:hint="eastAsia" w:ascii="仿宋_GB2312"/>
          <w:color w:val="auto"/>
          <w:szCs w:val="28"/>
          <w:highlight w:val="none"/>
          <w:lang w:val="en-US" w:eastAsia="zh-CN"/>
        </w:rPr>
        <w:t>财务</w:t>
      </w:r>
      <w:r>
        <w:rPr>
          <w:rFonts w:hint="eastAsia" w:ascii="仿宋_GB2312"/>
          <w:color w:val="auto"/>
          <w:szCs w:val="28"/>
          <w:highlight w:val="none"/>
        </w:rPr>
        <w:t>和</w:t>
      </w:r>
      <w:r>
        <w:rPr>
          <w:rFonts w:hint="eastAsia" w:ascii="仿宋_GB2312"/>
          <w:color w:val="auto"/>
          <w:szCs w:val="28"/>
          <w:highlight w:val="none"/>
          <w:lang w:val="en-US" w:eastAsia="zh-CN"/>
        </w:rPr>
        <w:t>业务</w:t>
      </w:r>
      <w:r>
        <w:rPr>
          <w:rFonts w:hint="eastAsia" w:ascii="仿宋_GB2312"/>
          <w:color w:val="auto"/>
          <w:szCs w:val="28"/>
          <w:highlight w:val="none"/>
        </w:rPr>
        <w:t>管理制度，</w:t>
      </w:r>
      <w:r>
        <w:rPr>
          <w:rFonts w:hint="eastAsia" w:ascii="仿宋_GB2312"/>
          <w:color w:val="auto"/>
          <w:szCs w:val="28"/>
          <w:highlight w:val="none"/>
          <w:lang w:val="en-US" w:eastAsia="zh-CN"/>
        </w:rPr>
        <w:t>其中内部控制管理制度包含预算管理制度、决算管理制度、支出管理办法、采购管理、预算绩效管理（含预算绩效评价管理）、监督检查等多项管理制度。整体来说，水磨沟街道办事处的财务管理制度涵盖了预算管理、资金审批、监督管理等多个方面，规范了项目资金申请、审批、复核、支付整个资金环节，保证资金使用的合规性各项制度合法</w:t>
      </w:r>
      <w:r>
        <w:rPr>
          <w:rFonts w:hint="eastAsia" w:ascii="仿宋_GB2312"/>
          <w:color w:val="auto"/>
          <w:szCs w:val="28"/>
          <w:highlight w:val="none"/>
        </w:rPr>
        <w:t>、合规、完整，为项目顺利实施提供重要保障。故管理制度健全性得分为3分。</w:t>
      </w:r>
    </w:p>
    <w:p w14:paraId="4C03774A">
      <w:pPr>
        <w:spacing w:line="360" w:lineRule="auto"/>
        <w:ind w:firstLine="562"/>
        <w:rPr>
          <w:rFonts w:hint="eastAsia" w:ascii="仿宋_GB2312"/>
          <w:color w:val="auto"/>
          <w:szCs w:val="28"/>
          <w:highlight w:val="none"/>
        </w:rPr>
      </w:pPr>
      <w:r>
        <w:rPr>
          <w:rFonts w:hint="eastAsia" w:ascii="仿宋_GB2312"/>
          <w:b/>
          <w:bCs/>
          <w:color w:val="auto"/>
          <w:szCs w:val="28"/>
          <w:highlight w:val="none"/>
        </w:rPr>
        <w:t>制度执行有效性：</w:t>
      </w:r>
      <w:r>
        <w:rPr>
          <w:rFonts w:hint="eastAsia" w:ascii="仿宋_GB2312"/>
          <w:color w:val="auto"/>
          <w:szCs w:val="28"/>
          <w:highlight w:val="none"/>
        </w:rPr>
        <w:t>根据评价小组核查情况，</w:t>
      </w:r>
      <w:r>
        <w:rPr>
          <w:rFonts w:hint="eastAsia" w:ascii="仿宋_GB2312"/>
          <w:color w:val="auto"/>
          <w:szCs w:val="28"/>
          <w:highlight w:val="none"/>
          <w:lang w:val="en-US" w:eastAsia="zh-CN"/>
        </w:rPr>
        <w:t>水磨沟街道办事处</w:t>
      </w:r>
      <w:r>
        <w:rPr>
          <w:rFonts w:hint="eastAsia" w:ascii="仿宋_GB2312"/>
          <w:color w:val="auto"/>
          <w:szCs w:val="28"/>
          <w:highlight w:val="none"/>
        </w:rPr>
        <w:t>严格遵守相关法律法规和相关管理规定，项目调整及支出调整手续完备，整体管理合理有序，项目完成后，及时将会计凭证、</w:t>
      </w:r>
      <w:r>
        <w:rPr>
          <w:rFonts w:hint="eastAsia" w:ascii="仿宋_GB2312"/>
          <w:color w:val="auto"/>
          <w:szCs w:val="28"/>
          <w:highlight w:val="none"/>
          <w:lang w:val="en-US" w:eastAsia="zh-CN"/>
        </w:rPr>
        <w:t>合同、采购单、验收单等相关资料</w:t>
      </w:r>
      <w:r>
        <w:rPr>
          <w:rFonts w:hint="eastAsia" w:ascii="仿宋_GB2312"/>
          <w:color w:val="auto"/>
          <w:szCs w:val="28"/>
          <w:highlight w:val="none"/>
        </w:rPr>
        <w:t>分类归档。故制度执行有效性指标得分4分。</w:t>
      </w:r>
    </w:p>
    <w:p w14:paraId="71E37C77">
      <w:pPr>
        <w:autoSpaceDE w:val="0"/>
        <w:spacing w:line="600" w:lineRule="exact"/>
        <w:ind w:firstLine="562"/>
        <w:rPr>
          <w:rFonts w:ascii="仿宋_GB2312" w:hAnsi="仿宋" w:cs="宋体"/>
          <w:b/>
          <w:color w:val="auto"/>
          <w:kern w:val="0"/>
          <w:szCs w:val="28"/>
          <w:highlight w:val="none"/>
        </w:rPr>
      </w:pPr>
      <w:bookmarkStart w:id="44" w:name="_Hlk67670213"/>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分，得分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w:t>
      </w:r>
      <w:bookmarkEnd w:id="44"/>
    </w:p>
    <w:p w14:paraId="73652A9B">
      <w:pPr>
        <w:pStyle w:val="3"/>
        <w:ind w:firstLine="643"/>
        <w:rPr>
          <w:rFonts w:ascii="仿宋" w:hAnsi="仿宋" w:eastAsia="仿宋"/>
          <w:color w:val="auto"/>
          <w:highlight w:val="none"/>
          <w:lang w:bidi="en-US"/>
        </w:rPr>
      </w:pPr>
      <w:bookmarkStart w:id="45" w:name="_Toc196487560"/>
      <w:bookmarkStart w:id="46" w:name="_Toc67911614"/>
      <w:r>
        <w:rPr>
          <w:rFonts w:hint="eastAsia" w:ascii="仿宋" w:hAnsi="仿宋" w:eastAsia="仿宋"/>
          <w:color w:val="auto"/>
          <w:highlight w:val="none"/>
          <w:lang w:bidi="en-US"/>
        </w:rPr>
        <w:t>（三）项目产出情况</w:t>
      </w:r>
      <w:bookmarkEnd w:id="45"/>
      <w:bookmarkEnd w:id="46"/>
    </w:p>
    <w:p w14:paraId="2EB075D9">
      <w:pPr>
        <w:spacing w:line="360" w:lineRule="auto"/>
        <w:ind w:firstLine="560"/>
        <w:rPr>
          <w:rFonts w:ascii="仿宋_GB2312"/>
          <w:color w:val="auto"/>
          <w:szCs w:val="28"/>
          <w:highlight w:val="none"/>
        </w:rPr>
      </w:pPr>
      <w:r>
        <w:rPr>
          <w:rFonts w:hint="eastAsia" w:ascii="仿宋_GB2312"/>
          <w:color w:val="auto"/>
          <w:szCs w:val="28"/>
          <w:highlight w:val="none"/>
        </w:rPr>
        <w:t>项目产出指标由</w:t>
      </w:r>
      <w:r>
        <w:rPr>
          <w:rFonts w:hint="eastAsia" w:ascii="仿宋_GB2312"/>
          <w:color w:val="auto"/>
          <w:szCs w:val="28"/>
          <w:highlight w:val="none"/>
          <w:lang w:val="en-US" w:eastAsia="zh-CN"/>
        </w:rPr>
        <w:t>3</w:t>
      </w:r>
      <w:r>
        <w:rPr>
          <w:rFonts w:hint="eastAsia" w:ascii="仿宋_GB2312"/>
          <w:color w:val="auto"/>
          <w:szCs w:val="28"/>
          <w:highlight w:val="none"/>
        </w:rPr>
        <w:t>个二级指标和</w:t>
      </w:r>
      <w:r>
        <w:rPr>
          <w:rFonts w:hint="eastAsia" w:ascii="仿宋_GB2312"/>
          <w:color w:val="auto"/>
          <w:szCs w:val="28"/>
          <w:highlight w:val="none"/>
          <w:lang w:val="en-US" w:eastAsia="zh-CN"/>
        </w:rPr>
        <w:t>9</w:t>
      </w:r>
      <w:r>
        <w:rPr>
          <w:rFonts w:hint="eastAsia" w:ascii="仿宋_GB2312"/>
          <w:color w:val="auto"/>
          <w:szCs w:val="28"/>
          <w:highlight w:val="none"/>
        </w:rPr>
        <w:t>个三级指标构成，权重为</w:t>
      </w:r>
      <w:r>
        <w:rPr>
          <w:rFonts w:ascii="仿宋_GB2312"/>
          <w:color w:val="auto"/>
          <w:szCs w:val="28"/>
          <w:highlight w:val="none"/>
        </w:rPr>
        <w:t>40</w:t>
      </w:r>
      <w:r>
        <w:rPr>
          <w:rFonts w:hint="eastAsia" w:ascii="仿宋_GB2312"/>
          <w:color w:val="auto"/>
          <w:szCs w:val="28"/>
          <w:highlight w:val="none"/>
        </w:rPr>
        <w:t>分，实际得分</w:t>
      </w:r>
      <w:r>
        <w:rPr>
          <w:rFonts w:hint="eastAsia" w:ascii="仿宋_GB2312"/>
          <w:color w:val="auto"/>
          <w:szCs w:val="28"/>
          <w:highlight w:val="none"/>
          <w:lang w:val="en-US" w:eastAsia="zh-CN"/>
        </w:rPr>
        <w:t>36.4</w:t>
      </w:r>
      <w:r>
        <w:rPr>
          <w:rFonts w:hint="eastAsia" w:ascii="仿宋_GB2312"/>
          <w:color w:val="auto"/>
          <w:szCs w:val="28"/>
          <w:highlight w:val="none"/>
        </w:rPr>
        <w:t>分。</w:t>
      </w:r>
    </w:p>
    <w:p w14:paraId="22EF73BE">
      <w:pPr>
        <w:pStyle w:val="4"/>
        <w:ind w:firstLine="643"/>
        <w:rPr>
          <w:color w:val="auto"/>
          <w:highlight w:val="none"/>
        </w:rPr>
      </w:pPr>
      <w:bookmarkStart w:id="47" w:name="_Toc196487561"/>
      <w:r>
        <w:rPr>
          <w:rFonts w:hint="eastAsia"/>
          <w:color w:val="auto"/>
          <w:highlight w:val="none"/>
        </w:rPr>
        <w:t>1</w:t>
      </w:r>
      <w:r>
        <w:rPr>
          <w:color w:val="auto"/>
          <w:highlight w:val="none"/>
        </w:rPr>
        <w:t>.</w:t>
      </w:r>
      <w:r>
        <w:rPr>
          <w:rFonts w:hint="eastAsia"/>
          <w:color w:val="auto"/>
          <w:highlight w:val="none"/>
        </w:rPr>
        <w:t>产出数量</w:t>
      </w:r>
      <w:bookmarkEnd w:id="47"/>
    </w:p>
    <w:p w14:paraId="5005BAE0">
      <w:pPr>
        <w:spacing w:line="360" w:lineRule="auto"/>
        <w:ind w:firstLine="560"/>
        <w:rPr>
          <w:rFonts w:hint="eastAsia" w:ascii="仿宋_GB2312"/>
          <w:bCs/>
          <w:color w:val="auto"/>
          <w:szCs w:val="28"/>
          <w:highlight w:val="none"/>
          <w:lang w:val="en-US" w:eastAsia="zh-CN"/>
        </w:rPr>
      </w:pPr>
      <w:r>
        <w:rPr>
          <w:rFonts w:hint="eastAsia" w:ascii="仿宋_GB2312"/>
          <w:bCs/>
          <w:color w:val="auto"/>
          <w:szCs w:val="28"/>
          <w:highlight w:val="none"/>
          <w:lang w:val="en-US" w:eastAsia="zh-CN"/>
        </w:rPr>
        <w:t>数量指标“社区数量”的目标值是12个，2024年度我单位实际完成12个。2024年，我单位管理3个市级重点社区和9个一般社区，3个市级重点社区分别为众泰社区、康居社区、沿河路社区，9个一般社区分别为温泉社区、景泉社区、秀泉社区、水磨社区、沿河北社区、风景社区、温泉北社区、田园社区、北山社区。实际完成率：100%，赋分4分，故实际得分4分。</w:t>
      </w:r>
    </w:p>
    <w:p w14:paraId="32AC7141">
      <w:pPr>
        <w:spacing w:line="360" w:lineRule="auto"/>
        <w:ind w:firstLine="560"/>
        <w:rPr>
          <w:rFonts w:hint="eastAsia" w:ascii="仿宋_GB2312"/>
          <w:bCs/>
          <w:color w:val="auto"/>
          <w:szCs w:val="28"/>
          <w:highlight w:val="none"/>
          <w:lang w:val="en-US" w:eastAsia="zh-CN"/>
        </w:rPr>
      </w:pPr>
      <w:r>
        <w:rPr>
          <w:rFonts w:hint="eastAsia" w:ascii="仿宋_GB2312"/>
          <w:bCs/>
          <w:color w:val="auto"/>
          <w:szCs w:val="28"/>
          <w:highlight w:val="none"/>
          <w:lang w:val="en-US" w:eastAsia="zh-CN"/>
        </w:rPr>
        <w:t>数量指标“开展群众活动次数”的目标值是大于等于30次，2024年我单位实际开展各类群众活动为30次，实际完成率：100%，赋分4分，故实际得分4分。</w:t>
      </w:r>
    </w:p>
    <w:p w14:paraId="7170D3C5">
      <w:pPr>
        <w:spacing w:line="360" w:lineRule="auto"/>
        <w:ind w:firstLine="560"/>
        <w:rPr>
          <w:rFonts w:hint="eastAsia" w:ascii="仿宋_GB2312"/>
          <w:bCs/>
          <w:color w:val="auto"/>
          <w:szCs w:val="28"/>
          <w:highlight w:val="none"/>
          <w:lang w:val="en-US" w:eastAsia="zh-CN"/>
        </w:rPr>
      </w:pPr>
      <w:r>
        <w:rPr>
          <w:rFonts w:hint="eastAsia" w:ascii="仿宋_GB2312"/>
          <w:bCs/>
          <w:color w:val="auto"/>
          <w:szCs w:val="28"/>
          <w:highlight w:val="none"/>
          <w:lang w:val="en-US" w:eastAsia="zh-CN"/>
        </w:rPr>
        <w:t>数量指标“社区购买办公耗材次数”的目标值是大于等于30次，2024年我单位实际购买办公耗材为30次，实际完成率：100%，赋分4分，故实际得分4分。</w:t>
      </w:r>
    </w:p>
    <w:p w14:paraId="6DF2E522">
      <w:pPr>
        <w:spacing w:line="360" w:lineRule="auto"/>
        <w:ind w:firstLine="560"/>
        <w:rPr>
          <w:rFonts w:hint="eastAsia" w:ascii="仿宋_GB2312"/>
          <w:bCs/>
          <w:color w:val="auto"/>
          <w:szCs w:val="28"/>
          <w:highlight w:val="none"/>
          <w:lang w:val="en-US" w:eastAsia="zh-CN"/>
        </w:rPr>
      </w:pPr>
      <w:r>
        <w:rPr>
          <w:rFonts w:hint="eastAsia" w:ascii="仿宋_GB2312"/>
          <w:bCs/>
          <w:color w:val="auto"/>
          <w:szCs w:val="28"/>
          <w:highlight w:val="none"/>
          <w:lang w:eastAsia="zh-CN"/>
        </w:rPr>
        <w:t>数量指标“</w:t>
      </w:r>
      <w:r>
        <w:rPr>
          <w:rFonts w:hint="eastAsia" w:ascii="仿宋_GB2312"/>
          <w:bCs/>
          <w:color w:val="auto"/>
          <w:szCs w:val="28"/>
          <w:highlight w:val="none"/>
          <w:lang w:val="en-US" w:eastAsia="zh-CN"/>
        </w:rPr>
        <w:t>社区化解欠款类型</w:t>
      </w:r>
      <w:r>
        <w:rPr>
          <w:rFonts w:hint="eastAsia" w:ascii="仿宋_GB2312"/>
          <w:bCs/>
          <w:color w:val="auto"/>
          <w:szCs w:val="28"/>
          <w:highlight w:val="none"/>
          <w:lang w:eastAsia="zh-CN"/>
        </w:rPr>
        <w:t>”的目标值是</w:t>
      </w:r>
      <w:r>
        <w:rPr>
          <w:rFonts w:hint="eastAsia" w:ascii="仿宋_GB2312"/>
          <w:bCs/>
          <w:color w:val="auto"/>
          <w:szCs w:val="28"/>
          <w:highlight w:val="none"/>
          <w:lang w:val="en-US" w:eastAsia="zh-CN"/>
        </w:rPr>
        <w:t>小于等于5类</w:t>
      </w:r>
      <w:r>
        <w:rPr>
          <w:rFonts w:hint="eastAsia" w:ascii="仿宋_GB2312"/>
          <w:bCs/>
          <w:color w:val="auto"/>
          <w:szCs w:val="28"/>
          <w:highlight w:val="none"/>
          <w:lang w:eastAsia="zh-CN"/>
        </w:rPr>
        <w:t>，</w:t>
      </w:r>
      <w:r>
        <w:rPr>
          <w:rFonts w:hint="eastAsia" w:ascii="仿宋_GB2312"/>
          <w:bCs/>
          <w:color w:val="auto"/>
          <w:szCs w:val="28"/>
          <w:highlight w:val="none"/>
          <w:lang w:val="en-US" w:eastAsia="zh-CN"/>
        </w:rPr>
        <w:t>2024年度我单位</w:t>
      </w:r>
      <w:r>
        <w:rPr>
          <w:rFonts w:hint="eastAsia" w:ascii="仿宋_GB2312"/>
          <w:bCs/>
          <w:color w:val="auto"/>
          <w:szCs w:val="28"/>
          <w:highlight w:val="none"/>
          <w:lang w:eastAsia="zh-CN"/>
        </w:rPr>
        <w:t>实际</w:t>
      </w:r>
      <w:r>
        <w:rPr>
          <w:rFonts w:hint="eastAsia" w:ascii="仿宋_GB2312"/>
          <w:bCs/>
          <w:color w:val="auto"/>
          <w:szCs w:val="28"/>
          <w:highlight w:val="none"/>
          <w:lang w:val="en-US" w:eastAsia="zh-CN"/>
        </w:rPr>
        <w:t>化解欠款4类</w:t>
      </w:r>
      <w:r>
        <w:rPr>
          <w:rFonts w:hint="eastAsia" w:ascii="仿宋_GB2312"/>
          <w:bCs/>
          <w:color w:val="auto"/>
          <w:szCs w:val="28"/>
          <w:highlight w:val="none"/>
          <w:lang w:eastAsia="zh-CN"/>
        </w:rPr>
        <w:t>，</w:t>
      </w:r>
      <w:r>
        <w:rPr>
          <w:rFonts w:hint="eastAsia" w:ascii="仿宋_GB2312"/>
          <w:bCs/>
          <w:color w:val="auto"/>
          <w:szCs w:val="28"/>
          <w:highlight w:val="none"/>
          <w:lang w:val="en-US" w:eastAsia="zh-CN"/>
        </w:rPr>
        <w:t>未完成</w:t>
      </w:r>
      <w:r>
        <w:rPr>
          <w:rFonts w:hint="eastAsia" w:ascii="仿宋_GB2312"/>
          <w:bCs/>
          <w:color w:val="auto"/>
          <w:szCs w:val="28"/>
          <w:highlight w:val="none"/>
          <w:lang w:eastAsia="zh-CN"/>
        </w:rPr>
        <w:t>原因</w:t>
      </w:r>
      <w:r>
        <w:rPr>
          <w:rFonts w:hint="eastAsia" w:ascii="仿宋_GB2312"/>
          <w:bCs/>
          <w:color w:val="auto"/>
          <w:szCs w:val="28"/>
          <w:highlight w:val="none"/>
          <w:lang w:val="en-US" w:eastAsia="zh-CN"/>
        </w:rPr>
        <w:t>是原</w:t>
      </w:r>
      <w:r>
        <w:rPr>
          <w:rFonts w:hint="eastAsia" w:ascii="仿宋_GB2312"/>
          <w:bCs/>
          <w:color w:val="auto"/>
          <w:szCs w:val="28"/>
          <w:highlight w:val="none"/>
          <w:lang w:eastAsia="zh-CN"/>
        </w:rPr>
        <w:t>计划化解基建工程、样板社区、日常运转、疫情、</w:t>
      </w:r>
      <w:r>
        <w:rPr>
          <w:rFonts w:hint="eastAsia" w:ascii="仿宋_GB2312"/>
          <w:bCs/>
          <w:color w:val="auto"/>
          <w:szCs w:val="28"/>
          <w:highlight w:val="none"/>
          <w:lang w:val="en-US" w:eastAsia="zh-CN"/>
        </w:rPr>
        <w:t>WW这5类欠款，2024年实际工作中，化解了</w:t>
      </w:r>
      <w:r>
        <w:rPr>
          <w:rFonts w:hint="eastAsia" w:ascii="仿宋_GB2312"/>
          <w:bCs/>
          <w:color w:val="auto"/>
          <w:szCs w:val="28"/>
          <w:highlight w:val="none"/>
          <w:lang w:eastAsia="zh-CN"/>
        </w:rPr>
        <w:t>基建工程、样板社区、日常运转、疫情这</w:t>
      </w:r>
      <w:r>
        <w:rPr>
          <w:rFonts w:hint="eastAsia" w:ascii="仿宋_GB2312"/>
          <w:bCs/>
          <w:color w:val="auto"/>
          <w:szCs w:val="28"/>
          <w:highlight w:val="none"/>
          <w:lang w:val="en-US" w:eastAsia="zh-CN"/>
        </w:rPr>
        <w:t>4类欠款</w:t>
      </w:r>
      <w:r>
        <w:rPr>
          <w:rFonts w:hint="eastAsia" w:ascii="仿宋_GB2312"/>
          <w:bCs/>
          <w:color w:val="auto"/>
          <w:szCs w:val="28"/>
          <w:highlight w:val="none"/>
          <w:lang w:eastAsia="zh-CN"/>
        </w:rPr>
        <w:t>。</w:t>
      </w:r>
      <w:r>
        <w:rPr>
          <w:rFonts w:hint="eastAsia" w:ascii="仿宋_GB2312"/>
          <w:bCs/>
          <w:color w:val="auto"/>
          <w:szCs w:val="28"/>
          <w:highlight w:val="none"/>
          <w:lang w:val="en-US" w:eastAsia="zh-CN"/>
        </w:rPr>
        <w:t>改进措施:通过开展多维度调研、优化目标制定流程、加强过程动态管控与动态调整等措施，构建调研先行、科学设标、动态优化的管理体系，从根源上避免因前期调研不足导致的目标偏差，保障欠款工作高效推进。实际完成率：80%，赋分3分，故实际得分2.4分。</w:t>
      </w:r>
    </w:p>
    <w:p w14:paraId="0DA0A22A">
      <w:pPr>
        <w:spacing w:line="360" w:lineRule="auto"/>
        <w:ind w:firstLine="560"/>
        <w:rPr>
          <w:rFonts w:hint="eastAsia" w:ascii="仿宋_GB2312"/>
          <w:b/>
          <w:bCs w:val="0"/>
          <w:color w:val="auto"/>
          <w:szCs w:val="28"/>
          <w:highlight w:val="none"/>
          <w:lang w:eastAsia="zh-CN"/>
        </w:rPr>
      </w:pPr>
      <w:r>
        <w:rPr>
          <w:rFonts w:hint="eastAsia" w:ascii="仿宋_GB2312"/>
          <w:b/>
          <w:bCs w:val="0"/>
          <w:color w:val="auto"/>
          <w:szCs w:val="28"/>
          <w:highlight w:val="none"/>
          <w:lang w:eastAsia="zh-CN"/>
        </w:rPr>
        <w:t>综上，</w:t>
      </w:r>
      <w:r>
        <w:rPr>
          <w:rFonts w:hint="eastAsia" w:ascii="仿宋_GB2312"/>
          <w:b/>
          <w:bCs w:val="0"/>
          <w:color w:val="auto"/>
          <w:szCs w:val="28"/>
          <w:highlight w:val="none"/>
          <w:lang w:val="en-US" w:eastAsia="zh-CN"/>
        </w:rPr>
        <w:t>该</w:t>
      </w:r>
      <w:r>
        <w:rPr>
          <w:rFonts w:hint="eastAsia" w:ascii="仿宋_GB2312"/>
          <w:b/>
          <w:bCs w:val="0"/>
          <w:color w:val="auto"/>
          <w:szCs w:val="28"/>
          <w:highlight w:val="none"/>
          <w:lang w:eastAsia="zh-CN"/>
        </w:rPr>
        <w:t>指标</w:t>
      </w:r>
      <w:r>
        <w:rPr>
          <w:rFonts w:hint="eastAsia" w:ascii="仿宋_GB2312" w:hAnsi="仿宋" w:cs="宋体"/>
          <w:b/>
          <w:color w:val="auto"/>
          <w:kern w:val="0"/>
          <w:szCs w:val="28"/>
          <w:highlight w:val="none"/>
        </w:rPr>
        <w:t>满分</w:t>
      </w:r>
      <w:r>
        <w:rPr>
          <w:rFonts w:hint="eastAsia" w:ascii="仿宋_GB2312" w:hAnsi="仿宋" w:cs="宋体"/>
          <w:b/>
          <w:color w:val="auto"/>
          <w:kern w:val="0"/>
          <w:szCs w:val="28"/>
          <w:highlight w:val="none"/>
          <w:lang w:val="en-US" w:eastAsia="zh-CN"/>
        </w:rPr>
        <w:t>15</w:t>
      </w:r>
      <w:r>
        <w:rPr>
          <w:rFonts w:hint="eastAsia" w:ascii="仿宋_GB2312" w:hAnsi="仿宋" w:cs="宋体"/>
          <w:b/>
          <w:color w:val="auto"/>
          <w:kern w:val="0"/>
          <w:szCs w:val="28"/>
          <w:highlight w:val="none"/>
        </w:rPr>
        <w:t>分，</w:t>
      </w:r>
      <w:r>
        <w:rPr>
          <w:rFonts w:hint="eastAsia" w:ascii="仿宋_GB2312"/>
          <w:b/>
          <w:bCs w:val="0"/>
          <w:color w:val="auto"/>
          <w:szCs w:val="28"/>
          <w:highlight w:val="none"/>
          <w:lang w:eastAsia="zh-CN"/>
        </w:rPr>
        <w:t>得分</w:t>
      </w:r>
      <w:r>
        <w:rPr>
          <w:rFonts w:hint="eastAsia" w:ascii="仿宋_GB2312"/>
          <w:b/>
          <w:bCs w:val="0"/>
          <w:color w:val="auto"/>
          <w:szCs w:val="28"/>
          <w:highlight w:val="none"/>
          <w:lang w:val="en-US" w:eastAsia="zh-CN"/>
        </w:rPr>
        <w:t>14.4</w:t>
      </w:r>
      <w:r>
        <w:rPr>
          <w:rFonts w:hint="eastAsia" w:ascii="仿宋_GB2312"/>
          <w:b/>
          <w:bCs w:val="0"/>
          <w:color w:val="auto"/>
          <w:szCs w:val="28"/>
          <w:highlight w:val="none"/>
          <w:lang w:eastAsia="zh-CN"/>
        </w:rPr>
        <w:t>分。</w:t>
      </w:r>
    </w:p>
    <w:p w14:paraId="37D641FA">
      <w:pPr>
        <w:pStyle w:val="4"/>
        <w:ind w:firstLine="643"/>
        <w:rPr>
          <w:color w:val="auto"/>
          <w:highlight w:val="none"/>
        </w:rPr>
      </w:pPr>
      <w:bookmarkStart w:id="48" w:name="_Toc196487562"/>
      <w:r>
        <w:rPr>
          <w:rFonts w:hint="eastAsia"/>
          <w:color w:val="auto"/>
          <w:highlight w:val="none"/>
        </w:rPr>
        <w:t>2</w:t>
      </w:r>
      <w:r>
        <w:rPr>
          <w:color w:val="auto"/>
          <w:highlight w:val="none"/>
        </w:rPr>
        <w:t>.</w:t>
      </w:r>
      <w:r>
        <w:rPr>
          <w:rFonts w:hint="eastAsia"/>
          <w:color w:val="auto"/>
          <w:highlight w:val="none"/>
        </w:rPr>
        <w:t>产出质量</w:t>
      </w:r>
      <w:bookmarkEnd w:id="48"/>
    </w:p>
    <w:p w14:paraId="3BFFB692">
      <w:pPr>
        <w:spacing w:line="360" w:lineRule="auto"/>
        <w:ind w:firstLine="562"/>
        <w:rPr>
          <w:rFonts w:hint="eastAsia" w:ascii="仿宋_GB2312"/>
          <w:bCs/>
          <w:color w:val="auto"/>
          <w:szCs w:val="28"/>
          <w:highlight w:val="none"/>
          <w:lang w:val="en-US" w:eastAsia="zh-CN"/>
        </w:rPr>
      </w:pPr>
      <w:r>
        <w:rPr>
          <w:rFonts w:hint="eastAsia" w:ascii="仿宋_GB2312"/>
          <w:bCs/>
          <w:color w:val="auto"/>
          <w:szCs w:val="28"/>
          <w:highlight w:val="none"/>
          <w:lang w:eastAsia="zh-CN"/>
        </w:rPr>
        <w:t>质量指标“社区</w:t>
      </w:r>
      <w:r>
        <w:rPr>
          <w:rFonts w:hint="eastAsia" w:ascii="仿宋_GB2312"/>
          <w:bCs/>
          <w:color w:val="auto"/>
          <w:szCs w:val="28"/>
          <w:highlight w:val="none"/>
          <w:lang w:val="en-US" w:eastAsia="zh-CN"/>
        </w:rPr>
        <w:t>工作</w:t>
      </w:r>
      <w:r>
        <w:rPr>
          <w:rFonts w:hint="eastAsia" w:ascii="仿宋_GB2312"/>
          <w:bCs/>
          <w:color w:val="auto"/>
          <w:szCs w:val="28"/>
          <w:highlight w:val="none"/>
          <w:lang w:eastAsia="zh-CN"/>
        </w:rPr>
        <w:t>正常运转率”目标值为</w:t>
      </w:r>
      <w:r>
        <w:rPr>
          <w:rFonts w:hint="eastAsia" w:ascii="仿宋_GB2312"/>
          <w:bCs/>
          <w:color w:val="auto"/>
          <w:szCs w:val="28"/>
          <w:highlight w:val="none"/>
          <w:lang w:val="en-US" w:eastAsia="zh-CN"/>
        </w:rPr>
        <w:t>大于等于9</w:t>
      </w:r>
      <w:r>
        <w:rPr>
          <w:rFonts w:hint="eastAsia" w:ascii="仿宋_GB2312"/>
          <w:bCs/>
          <w:color w:val="auto"/>
          <w:szCs w:val="28"/>
          <w:highlight w:val="none"/>
          <w:lang w:eastAsia="zh-CN"/>
        </w:rPr>
        <w:t>0%，</w:t>
      </w:r>
      <w:r>
        <w:rPr>
          <w:rFonts w:hint="eastAsia" w:ascii="仿宋_GB2312"/>
          <w:bCs/>
          <w:color w:val="auto"/>
          <w:szCs w:val="28"/>
          <w:highlight w:val="none"/>
          <w:lang w:val="en-US" w:eastAsia="zh-CN"/>
        </w:rPr>
        <w:t>2024年我单位</w:t>
      </w:r>
      <w:r>
        <w:rPr>
          <w:rFonts w:hint="eastAsia" w:ascii="仿宋_GB2312"/>
          <w:b w:val="0"/>
          <w:bCs w:val="0"/>
          <w:color w:val="auto"/>
          <w:sz w:val="28"/>
          <w:szCs w:val="28"/>
          <w:highlight w:val="none"/>
          <w:lang w:eastAsia="zh-CN"/>
        </w:rPr>
        <w:t>按照财务制度和财政部门规定进行社区经费的支付工作，</w:t>
      </w:r>
      <w:r>
        <w:rPr>
          <w:rFonts w:hint="eastAsia" w:ascii="仿宋_GB2312"/>
          <w:b w:val="0"/>
          <w:bCs w:val="0"/>
          <w:color w:val="auto"/>
          <w:sz w:val="28"/>
          <w:szCs w:val="28"/>
          <w:highlight w:val="none"/>
          <w:lang w:val="en-US" w:eastAsia="zh-CN"/>
        </w:rPr>
        <w:t>根据合同约定，及时向主管单位和财政局申请相关款项，</w:t>
      </w:r>
      <w:r>
        <w:rPr>
          <w:rFonts w:hint="eastAsia" w:ascii="仿宋_GB2312"/>
          <w:b w:val="0"/>
          <w:bCs w:val="0"/>
          <w:color w:val="auto"/>
          <w:sz w:val="28"/>
          <w:szCs w:val="28"/>
          <w:highlight w:val="none"/>
          <w:lang w:eastAsia="zh-CN"/>
        </w:rPr>
        <w:t>保障了社区</w:t>
      </w:r>
      <w:r>
        <w:rPr>
          <w:rFonts w:hint="eastAsia" w:ascii="仿宋_GB2312"/>
          <w:b w:val="0"/>
          <w:bCs w:val="0"/>
          <w:color w:val="auto"/>
          <w:sz w:val="28"/>
          <w:szCs w:val="28"/>
          <w:highlight w:val="none"/>
        </w:rPr>
        <w:t>经费</w:t>
      </w:r>
      <w:r>
        <w:rPr>
          <w:rFonts w:hint="eastAsia" w:ascii="仿宋_GB2312"/>
          <w:b w:val="0"/>
          <w:bCs w:val="0"/>
          <w:color w:val="auto"/>
          <w:sz w:val="28"/>
          <w:szCs w:val="28"/>
          <w:highlight w:val="none"/>
          <w:lang w:eastAsia="zh-CN"/>
        </w:rPr>
        <w:t>的</w:t>
      </w:r>
      <w:r>
        <w:rPr>
          <w:rFonts w:hint="eastAsia" w:ascii="仿宋_GB2312"/>
          <w:b w:val="0"/>
          <w:bCs w:val="0"/>
          <w:color w:val="auto"/>
          <w:sz w:val="28"/>
          <w:szCs w:val="28"/>
          <w:highlight w:val="none"/>
        </w:rPr>
        <w:t>管理和使用</w:t>
      </w:r>
      <w:r>
        <w:rPr>
          <w:rFonts w:hint="eastAsia" w:ascii="仿宋_GB2312"/>
          <w:b w:val="0"/>
          <w:bCs w:val="0"/>
          <w:color w:val="auto"/>
          <w:sz w:val="28"/>
          <w:szCs w:val="28"/>
          <w:highlight w:val="none"/>
          <w:lang w:eastAsia="zh-CN"/>
        </w:rPr>
        <w:t>，</w:t>
      </w:r>
      <w:r>
        <w:rPr>
          <w:rFonts w:hint="eastAsia" w:ascii="仿宋_GB2312"/>
          <w:b w:val="0"/>
          <w:bCs w:val="0"/>
          <w:color w:val="auto"/>
          <w:sz w:val="28"/>
          <w:szCs w:val="28"/>
          <w:highlight w:val="none"/>
          <w:lang w:val="en-US" w:eastAsia="zh-CN"/>
        </w:rPr>
        <w:t>我街道12个</w:t>
      </w:r>
      <w:r>
        <w:rPr>
          <w:rFonts w:hint="eastAsia" w:ascii="仿宋_GB2312"/>
          <w:bCs/>
          <w:color w:val="auto"/>
          <w:szCs w:val="28"/>
          <w:highlight w:val="none"/>
          <w:lang w:val="en-US" w:eastAsia="zh-CN"/>
        </w:rPr>
        <w:t>社区运转正常平稳，正常运转率达到100%。</w:t>
      </w:r>
      <w:r>
        <w:rPr>
          <w:rFonts w:hint="eastAsia" w:ascii="仿宋_GB2312"/>
          <w:color w:val="auto"/>
          <w:szCs w:val="28"/>
          <w:highlight w:val="none"/>
          <w:lang w:val="en-US" w:eastAsia="zh-CN"/>
        </w:rPr>
        <w:t>赋分10分，实际</w:t>
      </w:r>
      <w:r>
        <w:rPr>
          <w:rFonts w:hint="eastAsia" w:ascii="仿宋_GB2312"/>
          <w:color w:val="auto"/>
          <w:szCs w:val="28"/>
          <w:highlight w:val="none"/>
        </w:rPr>
        <w:t>得分</w:t>
      </w:r>
      <w:r>
        <w:rPr>
          <w:rFonts w:hint="eastAsia" w:ascii="仿宋_GB2312"/>
          <w:color w:val="auto"/>
          <w:szCs w:val="28"/>
          <w:highlight w:val="none"/>
          <w:lang w:val="en-US" w:eastAsia="zh-CN"/>
        </w:rPr>
        <w:t>10分</w:t>
      </w:r>
      <w:r>
        <w:rPr>
          <w:rFonts w:hint="eastAsia" w:ascii="仿宋_GB2312"/>
          <w:color w:val="auto"/>
          <w:szCs w:val="28"/>
          <w:highlight w:val="none"/>
          <w:lang w:eastAsia="zh-CN"/>
        </w:rPr>
        <w:t>，</w:t>
      </w:r>
      <w:r>
        <w:rPr>
          <w:rFonts w:hint="eastAsia" w:ascii="仿宋_GB2312"/>
          <w:color w:val="auto"/>
          <w:szCs w:val="28"/>
          <w:highlight w:val="none"/>
          <w:lang w:val="en-US" w:eastAsia="zh-CN"/>
        </w:rPr>
        <w:t>得分率100%</w:t>
      </w:r>
      <w:r>
        <w:rPr>
          <w:rFonts w:hint="eastAsia" w:ascii="仿宋_GB2312"/>
          <w:bCs/>
          <w:color w:val="auto"/>
          <w:szCs w:val="28"/>
          <w:highlight w:val="none"/>
          <w:lang w:val="en-US" w:eastAsia="zh-CN"/>
        </w:rPr>
        <w:t>。</w:t>
      </w:r>
    </w:p>
    <w:p w14:paraId="108B4D8B">
      <w:pPr>
        <w:pStyle w:val="4"/>
        <w:rPr>
          <w:color w:val="auto"/>
          <w:highlight w:val="none"/>
        </w:rPr>
      </w:pPr>
      <w:bookmarkStart w:id="49" w:name="_Toc196487563"/>
      <w:r>
        <w:rPr>
          <w:rFonts w:hint="eastAsia"/>
          <w:color w:val="auto"/>
          <w:highlight w:val="none"/>
        </w:rPr>
        <w:t>3</w:t>
      </w:r>
      <w:r>
        <w:rPr>
          <w:color w:val="auto"/>
          <w:highlight w:val="none"/>
        </w:rPr>
        <w:t>.</w:t>
      </w:r>
      <w:r>
        <w:rPr>
          <w:rFonts w:hint="eastAsia"/>
          <w:color w:val="auto"/>
          <w:highlight w:val="none"/>
        </w:rPr>
        <w:t>产出时效</w:t>
      </w:r>
      <w:bookmarkEnd w:id="49"/>
    </w:p>
    <w:p w14:paraId="66FD9B1B">
      <w:pPr>
        <w:pStyle w:val="4"/>
        <w:ind w:firstLine="643"/>
        <w:rPr>
          <w:rFonts w:hint="eastAsia" w:eastAsia="仿宋_GB2312"/>
          <w:b w:val="0"/>
          <w:bCs w:val="0"/>
          <w:color w:val="auto"/>
          <w:highlight w:val="none"/>
          <w:lang w:val="en-US" w:eastAsia="zh-CN"/>
        </w:rPr>
      </w:pPr>
      <w:bookmarkStart w:id="50" w:name="_Toc196487564"/>
      <w:bookmarkStart w:id="51" w:name="_Toc67911615"/>
      <w:r>
        <w:rPr>
          <w:rFonts w:hint="eastAsia"/>
          <w:b w:val="0"/>
          <w:bCs w:val="0"/>
          <w:color w:val="auto"/>
          <w:highlight w:val="none"/>
          <w:lang w:val="en-US" w:eastAsia="zh-CN"/>
        </w:rPr>
        <w:t>未设置</w:t>
      </w:r>
    </w:p>
    <w:p w14:paraId="42363724">
      <w:pPr>
        <w:pStyle w:val="4"/>
        <w:ind w:firstLine="643"/>
        <w:rPr>
          <w:color w:val="auto"/>
          <w:highlight w:val="none"/>
        </w:rPr>
      </w:pPr>
      <w:r>
        <w:rPr>
          <w:rFonts w:hint="eastAsia"/>
          <w:color w:val="auto"/>
          <w:highlight w:val="none"/>
        </w:rPr>
        <w:t>4</w:t>
      </w:r>
      <w:r>
        <w:rPr>
          <w:color w:val="auto"/>
          <w:highlight w:val="none"/>
        </w:rPr>
        <w:t>.</w:t>
      </w:r>
      <w:r>
        <w:rPr>
          <w:rFonts w:hint="eastAsia"/>
          <w:color w:val="auto"/>
          <w:highlight w:val="none"/>
        </w:rPr>
        <w:t>产出成本</w:t>
      </w:r>
      <w:bookmarkEnd w:id="50"/>
      <w:bookmarkEnd w:id="51"/>
    </w:p>
    <w:p w14:paraId="634330BA">
      <w:pPr>
        <w:spacing w:line="360" w:lineRule="auto"/>
        <w:ind w:firstLine="562"/>
        <w:rPr>
          <w:rFonts w:hint="eastAsia" w:ascii="仿宋_GB2312"/>
          <w:bCs/>
          <w:color w:val="auto"/>
          <w:szCs w:val="28"/>
          <w:highlight w:val="none"/>
          <w:lang w:val="en-US" w:eastAsia="zh-CN"/>
        </w:rPr>
      </w:pPr>
      <w:r>
        <w:rPr>
          <w:rFonts w:hint="eastAsia" w:ascii="仿宋_GB2312"/>
          <w:b/>
          <w:bCs w:val="0"/>
          <w:color w:val="auto"/>
          <w:szCs w:val="28"/>
          <w:highlight w:val="none"/>
          <w:lang w:val="en-US" w:eastAsia="zh-CN"/>
        </w:rPr>
        <w:t>成本指标“社区日常运行成本”</w:t>
      </w:r>
      <w:r>
        <w:rPr>
          <w:rFonts w:hint="eastAsia" w:ascii="仿宋_GB2312"/>
          <w:b/>
          <w:bCs w:val="0"/>
          <w:color w:val="auto"/>
          <w:szCs w:val="28"/>
          <w:highlight w:val="none"/>
          <w:lang w:eastAsia="zh-CN"/>
        </w:rPr>
        <w:t>项目预算控制率：</w:t>
      </w:r>
      <w:r>
        <w:rPr>
          <w:rFonts w:hint="eastAsia" w:ascii="仿宋_GB2312"/>
          <w:bCs/>
          <w:color w:val="auto"/>
          <w:szCs w:val="28"/>
          <w:highlight w:val="none"/>
          <w:lang w:eastAsia="zh-CN"/>
        </w:rPr>
        <w:t>本项目实际支出</w:t>
      </w:r>
      <w:r>
        <w:rPr>
          <w:rFonts w:hint="eastAsia" w:ascii="仿宋_GB2312"/>
          <w:bCs/>
          <w:color w:val="auto"/>
          <w:szCs w:val="28"/>
          <w:highlight w:val="none"/>
          <w:lang w:val="en-US" w:eastAsia="zh-CN"/>
        </w:rPr>
        <w:t>6.83</w:t>
      </w:r>
      <w:r>
        <w:rPr>
          <w:rFonts w:hint="eastAsia" w:ascii="仿宋_GB2312"/>
          <w:bCs/>
          <w:color w:val="auto"/>
          <w:szCs w:val="28"/>
          <w:highlight w:val="none"/>
          <w:lang w:eastAsia="zh-CN"/>
        </w:rPr>
        <w:t>万元，无超支情况，项目资金</w:t>
      </w:r>
      <w:r>
        <w:rPr>
          <w:rFonts w:hint="eastAsia" w:ascii="仿宋_GB2312"/>
          <w:bCs/>
          <w:color w:val="auto"/>
          <w:szCs w:val="28"/>
          <w:highlight w:val="none"/>
          <w:lang w:val="en-US" w:eastAsia="zh-CN"/>
        </w:rPr>
        <w:t>未</w:t>
      </w:r>
      <w:r>
        <w:rPr>
          <w:rFonts w:hint="eastAsia" w:ascii="仿宋_GB2312"/>
          <w:bCs/>
          <w:color w:val="auto"/>
          <w:szCs w:val="28"/>
          <w:highlight w:val="none"/>
          <w:lang w:eastAsia="zh-CN"/>
        </w:rPr>
        <w:t>完成。</w:t>
      </w:r>
      <w:r>
        <w:rPr>
          <w:rFonts w:hint="eastAsia" w:ascii="仿宋_GB2312"/>
          <w:bCs/>
          <w:color w:val="auto"/>
          <w:szCs w:val="28"/>
          <w:highlight w:val="none"/>
          <w:lang w:val="en-US" w:eastAsia="zh-CN"/>
        </w:rPr>
        <w:t>资金未支付完毕</w:t>
      </w:r>
      <w:r>
        <w:rPr>
          <w:rFonts w:hint="eastAsia" w:ascii="仿宋_GB2312"/>
          <w:bCs/>
          <w:color w:val="auto"/>
          <w:szCs w:val="28"/>
          <w:highlight w:val="none"/>
        </w:rPr>
        <w:t>原因：</w:t>
      </w:r>
      <w:r>
        <w:rPr>
          <w:rFonts w:hint="eastAsia" w:ascii="仿宋_GB2312"/>
          <w:bCs/>
          <w:color w:val="auto"/>
          <w:szCs w:val="28"/>
          <w:highlight w:val="none"/>
          <w:lang w:eastAsia="zh-CN"/>
        </w:rPr>
        <w:t>一是社区大力推行节能措施，从照明系统到办公设备，都进行了节能改造，不仅减少了能源消耗，也降低了水电等费用支出。二是社区人员架构化成效显著，通过合理的岗位合并与工作流程简化，减少了不必要的人力投入。</w:t>
      </w:r>
      <w:r>
        <w:rPr>
          <w:rFonts w:hint="eastAsia" w:ascii="仿宋_GB2312"/>
          <w:bCs/>
          <w:color w:val="auto"/>
          <w:szCs w:val="28"/>
          <w:highlight w:val="none"/>
          <w:lang w:val="en-US" w:eastAsia="zh-CN"/>
        </w:rPr>
        <w:t>改进措施:结合历史成本数据、社区规模及服务需求，细化预算科目，精准测算指标，确保目标贴近实际。</w:t>
      </w:r>
      <w:r>
        <w:rPr>
          <w:rFonts w:hint="eastAsia" w:ascii="仿宋_GB2312"/>
          <w:color w:val="auto"/>
          <w:szCs w:val="28"/>
          <w:highlight w:val="none"/>
          <w:lang w:val="en-US" w:eastAsia="zh-CN"/>
        </w:rPr>
        <w:t>赋分4分，实际</w:t>
      </w:r>
      <w:r>
        <w:rPr>
          <w:rFonts w:hint="eastAsia" w:ascii="仿宋_GB2312"/>
          <w:color w:val="auto"/>
          <w:szCs w:val="28"/>
          <w:highlight w:val="none"/>
        </w:rPr>
        <w:t>得分</w:t>
      </w:r>
      <w:r>
        <w:rPr>
          <w:rFonts w:hint="eastAsia" w:ascii="仿宋_GB2312"/>
          <w:color w:val="auto"/>
          <w:szCs w:val="28"/>
          <w:highlight w:val="none"/>
          <w:lang w:val="en-US" w:eastAsia="zh-CN"/>
        </w:rPr>
        <w:t>4分</w:t>
      </w:r>
      <w:r>
        <w:rPr>
          <w:rFonts w:hint="eastAsia" w:ascii="仿宋_GB2312"/>
          <w:color w:val="auto"/>
          <w:szCs w:val="28"/>
          <w:highlight w:val="none"/>
          <w:lang w:eastAsia="zh-CN"/>
        </w:rPr>
        <w:t>，</w:t>
      </w:r>
      <w:r>
        <w:rPr>
          <w:rFonts w:hint="eastAsia" w:ascii="仿宋_GB2312"/>
          <w:color w:val="auto"/>
          <w:szCs w:val="28"/>
          <w:highlight w:val="none"/>
          <w:lang w:val="en-US" w:eastAsia="zh-CN"/>
        </w:rPr>
        <w:t>得分率100%</w:t>
      </w:r>
      <w:r>
        <w:rPr>
          <w:rFonts w:hint="eastAsia" w:ascii="仿宋_GB2312"/>
          <w:bCs/>
          <w:color w:val="auto"/>
          <w:szCs w:val="28"/>
          <w:highlight w:val="none"/>
          <w:lang w:val="en-US" w:eastAsia="zh-CN"/>
        </w:rPr>
        <w:t>。</w:t>
      </w:r>
    </w:p>
    <w:p w14:paraId="52CA11F9">
      <w:pPr>
        <w:spacing w:line="360" w:lineRule="auto"/>
        <w:ind w:firstLine="562"/>
        <w:rPr>
          <w:rFonts w:hint="eastAsia" w:ascii="仿宋_GB2312"/>
          <w:bCs/>
          <w:color w:val="auto"/>
          <w:szCs w:val="28"/>
          <w:highlight w:val="none"/>
          <w:lang w:val="en-US" w:eastAsia="zh-CN"/>
        </w:rPr>
      </w:pPr>
      <w:r>
        <w:rPr>
          <w:rFonts w:hint="eastAsia" w:ascii="仿宋_GB2312"/>
          <w:b/>
          <w:bCs w:val="0"/>
          <w:color w:val="auto"/>
          <w:szCs w:val="28"/>
          <w:highlight w:val="none"/>
          <w:lang w:val="en-US" w:eastAsia="zh-CN"/>
        </w:rPr>
        <w:t>成本指标“开展群众活动成本”项目预算控制率：</w:t>
      </w:r>
      <w:r>
        <w:rPr>
          <w:rFonts w:hint="eastAsia" w:ascii="仿宋_GB2312"/>
          <w:b w:val="0"/>
          <w:bCs/>
          <w:color w:val="auto"/>
          <w:szCs w:val="28"/>
          <w:highlight w:val="none"/>
          <w:lang w:val="en-US" w:eastAsia="zh-CN"/>
        </w:rPr>
        <w:t>本项目实际支出0.0393万元，无超支情况，项目资金未完成。</w:t>
      </w:r>
      <w:r>
        <w:rPr>
          <w:rFonts w:hint="eastAsia" w:ascii="仿宋_GB2312"/>
          <w:bCs/>
          <w:color w:val="auto"/>
          <w:szCs w:val="28"/>
          <w:highlight w:val="none"/>
          <w:lang w:val="en-US" w:eastAsia="zh-CN"/>
        </w:rPr>
        <w:t>资金未支付完</w:t>
      </w:r>
      <w:r>
        <w:rPr>
          <w:rFonts w:hint="eastAsia" w:ascii="仿宋_GB2312"/>
          <w:bCs/>
          <w:color w:val="auto"/>
          <w:szCs w:val="28"/>
          <w:highlight w:val="none"/>
        </w:rPr>
        <w:t>原因：</w:t>
      </w:r>
      <w:r>
        <w:rPr>
          <w:rFonts w:hint="eastAsia" w:ascii="仿宋_GB2312"/>
          <w:bCs/>
          <w:color w:val="auto"/>
          <w:szCs w:val="28"/>
          <w:highlight w:val="none"/>
          <w:lang w:val="en-US" w:eastAsia="zh-CN"/>
        </w:rPr>
        <w:t>一是充分挖掘并利用社区内部免费公共场地，像社区活动室、居民广场等，避免高额场地租赁费；二是社区工作者发挥主观能动性，主动承担活动策划、组织、执行等任务，同时社区志愿者积极参与活动筹备和现场服务，节省了人力成本；三是积极与周边企业、物业、辖区单位等社会组织合作，并获取活动赞助，实现互利共赢。改进措施:与周边社区、企业、辖区单位等共建资源共享库，进一步降低采购与维护成本，社区在保持成本可控的前提下，优化资源配置效率，确保服务质量与居民满意度同步提升，实现可持续发展目标。</w:t>
      </w:r>
      <w:r>
        <w:rPr>
          <w:rFonts w:hint="eastAsia" w:ascii="仿宋_GB2312"/>
          <w:color w:val="auto"/>
          <w:szCs w:val="28"/>
          <w:highlight w:val="none"/>
          <w:lang w:val="en-US" w:eastAsia="zh-CN"/>
        </w:rPr>
        <w:t>赋分4分，实际</w:t>
      </w:r>
      <w:r>
        <w:rPr>
          <w:rFonts w:hint="eastAsia" w:ascii="仿宋_GB2312"/>
          <w:color w:val="auto"/>
          <w:szCs w:val="28"/>
          <w:highlight w:val="none"/>
        </w:rPr>
        <w:t>得分</w:t>
      </w:r>
      <w:r>
        <w:rPr>
          <w:rFonts w:hint="eastAsia" w:ascii="仿宋_GB2312"/>
          <w:color w:val="auto"/>
          <w:szCs w:val="28"/>
          <w:highlight w:val="none"/>
          <w:lang w:val="en-US" w:eastAsia="zh-CN"/>
        </w:rPr>
        <w:t>4分</w:t>
      </w:r>
      <w:r>
        <w:rPr>
          <w:rFonts w:hint="eastAsia" w:ascii="仿宋_GB2312"/>
          <w:color w:val="auto"/>
          <w:szCs w:val="28"/>
          <w:highlight w:val="none"/>
          <w:lang w:eastAsia="zh-CN"/>
        </w:rPr>
        <w:t>，</w:t>
      </w:r>
      <w:r>
        <w:rPr>
          <w:rFonts w:hint="eastAsia" w:ascii="仿宋_GB2312"/>
          <w:color w:val="auto"/>
          <w:szCs w:val="28"/>
          <w:highlight w:val="none"/>
          <w:lang w:val="en-US" w:eastAsia="zh-CN"/>
        </w:rPr>
        <w:t>得分率100%</w:t>
      </w:r>
      <w:r>
        <w:rPr>
          <w:rFonts w:hint="eastAsia" w:ascii="仿宋_GB2312"/>
          <w:bCs/>
          <w:color w:val="auto"/>
          <w:szCs w:val="28"/>
          <w:highlight w:val="none"/>
          <w:lang w:val="en-US" w:eastAsia="zh-CN"/>
        </w:rPr>
        <w:t>。</w:t>
      </w:r>
    </w:p>
    <w:p w14:paraId="759BF188">
      <w:pPr>
        <w:spacing w:line="360" w:lineRule="auto"/>
        <w:ind w:firstLine="562"/>
        <w:rPr>
          <w:rFonts w:hint="eastAsia" w:ascii="仿宋_GB2312"/>
          <w:bCs/>
          <w:color w:val="auto"/>
          <w:szCs w:val="28"/>
          <w:highlight w:val="none"/>
          <w:lang w:val="en-US" w:eastAsia="zh-CN"/>
        </w:rPr>
      </w:pPr>
      <w:r>
        <w:rPr>
          <w:rFonts w:hint="eastAsia" w:ascii="仿宋_GB2312"/>
          <w:b/>
          <w:bCs w:val="0"/>
          <w:color w:val="auto"/>
          <w:szCs w:val="28"/>
          <w:highlight w:val="none"/>
          <w:lang w:val="en-US" w:eastAsia="zh-CN"/>
        </w:rPr>
        <w:t>成本指标“购买办公耗材成本”项目预算控制率：</w:t>
      </w:r>
      <w:r>
        <w:rPr>
          <w:rFonts w:hint="eastAsia" w:ascii="仿宋_GB2312"/>
          <w:b w:val="0"/>
          <w:bCs/>
          <w:color w:val="auto"/>
          <w:szCs w:val="28"/>
          <w:highlight w:val="none"/>
          <w:lang w:val="en-US" w:eastAsia="zh-CN"/>
        </w:rPr>
        <w:t>本项目实际支出14.42万元，无超支情况，项目资金未完成。</w:t>
      </w:r>
      <w:r>
        <w:rPr>
          <w:rFonts w:hint="eastAsia" w:ascii="仿宋_GB2312"/>
          <w:bCs/>
          <w:color w:val="auto"/>
          <w:szCs w:val="28"/>
          <w:highlight w:val="none"/>
          <w:lang w:val="en-US" w:eastAsia="zh-CN"/>
        </w:rPr>
        <w:t>资金未支付完毕</w:t>
      </w:r>
      <w:r>
        <w:rPr>
          <w:rFonts w:hint="eastAsia" w:ascii="仿宋_GB2312"/>
          <w:bCs/>
          <w:color w:val="auto"/>
          <w:szCs w:val="28"/>
          <w:highlight w:val="none"/>
        </w:rPr>
        <w:t>原因：</w:t>
      </w:r>
      <w:r>
        <w:rPr>
          <w:rFonts w:hint="eastAsia" w:ascii="仿宋_GB2312"/>
          <w:bCs/>
          <w:color w:val="auto"/>
          <w:szCs w:val="28"/>
          <w:highlight w:val="none"/>
          <w:lang w:val="en-US" w:eastAsia="zh-CN"/>
        </w:rPr>
        <w:t>一是社区积极开展节约办公宣传与培训活动，增强工作人员的成本控制意识。推行无纸化办公，如使用电子文档替代纸质文件、双面打印等，有效减少纸张、墨盒等耗材的使用量；二是完善办公耗材库存管理系统，精准监控库存数量，依据过往使用数据预测需求，避免库存积压或缺货，杜绝因盲目采购造成的资金浪费。改进措施:建立历史采购数据库，分析耗材使用量、使用周期，结合实际需求，预估未来耗材需求。定期与各部门沟通，了解项目开展情况和特殊需求，避免过度采购或采购不足。对于常用耗材，采用定期采购模式，设定合理的采购周期；对于不常用但必需的耗材，采用定量采购模式，当库存降至一定水平时进行采购 。</w:t>
      </w:r>
      <w:r>
        <w:rPr>
          <w:rFonts w:hint="eastAsia" w:ascii="仿宋_GB2312"/>
          <w:color w:val="auto"/>
          <w:szCs w:val="28"/>
          <w:highlight w:val="none"/>
          <w:lang w:val="en-US" w:eastAsia="zh-CN"/>
        </w:rPr>
        <w:t>赋分4分，实际</w:t>
      </w:r>
      <w:r>
        <w:rPr>
          <w:rFonts w:hint="eastAsia" w:ascii="仿宋_GB2312"/>
          <w:color w:val="auto"/>
          <w:szCs w:val="28"/>
          <w:highlight w:val="none"/>
        </w:rPr>
        <w:t>得分</w:t>
      </w:r>
      <w:r>
        <w:rPr>
          <w:rFonts w:hint="eastAsia" w:ascii="仿宋_GB2312"/>
          <w:color w:val="auto"/>
          <w:szCs w:val="28"/>
          <w:highlight w:val="none"/>
          <w:lang w:val="en-US" w:eastAsia="zh-CN"/>
        </w:rPr>
        <w:t>4分</w:t>
      </w:r>
      <w:r>
        <w:rPr>
          <w:rFonts w:hint="eastAsia" w:ascii="仿宋_GB2312"/>
          <w:color w:val="auto"/>
          <w:szCs w:val="28"/>
          <w:highlight w:val="none"/>
          <w:lang w:eastAsia="zh-CN"/>
        </w:rPr>
        <w:t>，</w:t>
      </w:r>
      <w:r>
        <w:rPr>
          <w:rFonts w:hint="eastAsia" w:ascii="仿宋_GB2312"/>
          <w:color w:val="auto"/>
          <w:szCs w:val="28"/>
          <w:highlight w:val="none"/>
          <w:lang w:val="en-US" w:eastAsia="zh-CN"/>
        </w:rPr>
        <w:t>得分率100%</w:t>
      </w:r>
      <w:r>
        <w:rPr>
          <w:rFonts w:hint="eastAsia" w:ascii="仿宋_GB2312"/>
          <w:bCs/>
          <w:color w:val="auto"/>
          <w:szCs w:val="28"/>
          <w:highlight w:val="none"/>
          <w:lang w:val="en-US" w:eastAsia="zh-CN"/>
        </w:rPr>
        <w:t>。</w:t>
      </w:r>
    </w:p>
    <w:p w14:paraId="54051723">
      <w:pPr>
        <w:spacing w:line="360" w:lineRule="auto"/>
        <w:ind w:firstLine="562"/>
        <w:rPr>
          <w:rFonts w:hint="eastAsia" w:ascii="仿宋_GB2312"/>
          <w:bCs/>
          <w:color w:val="auto"/>
          <w:szCs w:val="28"/>
          <w:highlight w:val="none"/>
          <w:lang w:val="en-US" w:eastAsia="zh-CN"/>
        </w:rPr>
      </w:pPr>
      <w:r>
        <w:rPr>
          <w:rFonts w:hint="eastAsia" w:ascii="仿宋_GB2312"/>
          <w:b/>
          <w:bCs w:val="0"/>
          <w:color w:val="auto"/>
          <w:szCs w:val="28"/>
          <w:highlight w:val="none"/>
          <w:lang w:val="en-US" w:eastAsia="zh-CN"/>
        </w:rPr>
        <w:t>成本指标“平均化解每类欠款成本”项目预算控制率：</w:t>
      </w:r>
      <w:r>
        <w:rPr>
          <w:rFonts w:hint="eastAsia" w:ascii="仿宋_GB2312"/>
          <w:b w:val="0"/>
          <w:bCs/>
          <w:color w:val="auto"/>
          <w:szCs w:val="28"/>
          <w:highlight w:val="none"/>
          <w:lang w:val="en-US" w:eastAsia="zh-CN"/>
        </w:rPr>
        <w:t>本项目实际支出76.25万元，项目资金超支。</w:t>
      </w:r>
      <w:r>
        <w:rPr>
          <w:rFonts w:hint="eastAsia" w:ascii="仿宋_GB2312"/>
          <w:bCs/>
          <w:color w:val="auto"/>
          <w:szCs w:val="28"/>
          <w:highlight w:val="none"/>
          <w:lang w:val="en-US" w:eastAsia="zh-CN"/>
        </w:rPr>
        <w:t>超支原因：原计划化解5类欠款总金额174万，为有效化解中小企业拖欠账款，提升政府公信力，提高中小企业满意度，我街道各社区实际化解4类欠款总金额合计305万元，致使平均化解每类欠款的成本提高。改进措施:一是全面梳理历史欠款数据，细化分解任务，将欠款化解目标按类型、时间节点、责任主体进一步拆解，制定详细计划，明确各阶段任务；二是建立与欠款方的常态化沟通机制，通过定期回访、政策宣讲等方式消除误解；三是加强与上级部门的汇报对接，争取政策支持与资源倾斜。</w:t>
      </w:r>
      <w:r>
        <w:rPr>
          <w:rFonts w:hint="eastAsia" w:ascii="仿宋_GB2312"/>
          <w:color w:val="auto"/>
          <w:szCs w:val="28"/>
          <w:highlight w:val="none"/>
          <w:lang w:val="en-US" w:eastAsia="zh-CN"/>
        </w:rPr>
        <w:t>赋分3分，实际</w:t>
      </w:r>
      <w:r>
        <w:rPr>
          <w:rFonts w:hint="eastAsia" w:ascii="仿宋_GB2312"/>
          <w:color w:val="auto"/>
          <w:szCs w:val="28"/>
          <w:highlight w:val="none"/>
        </w:rPr>
        <w:t>得分</w:t>
      </w:r>
      <w:r>
        <w:rPr>
          <w:rFonts w:hint="eastAsia" w:ascii="仿宋_GB2312"/>
          <w:color w:val="auto"/>
          <w:szCs w:val="28"/>
          <w:highlight w:val="none"/>
          <w:lang w:val="en-US" w:eastAsia="zh-CN"/>
        </w:rPr>
        <w:t>0分</w:t>
      </w:r>
      <w:r>
        <w:rPr>
          <w:rFonts w:hint="eastAsia" w:ascii="仿宋_GB2312"/>
          <w:color w:val="auto"/>
          <w:szCs w:val="28"/>
          <w:highlight w:val="none"/>
          <w:lang w:eastAsia="zh-CN"/>
        </w:rPr>
        <w:t>，</w:t>
      </w:r>
      <w:r>
        <w:rPr>
          <w:rFonts w:hint="eastAsia" w:ascii="仿宋_GB2312"/>
          <w:color w:val="auto"/>
          <w:szCs w:val="28"/>
          <w:highlight w:val="none"/>
          <w:lang w:val="en-US" w:eastAsia="zh-CN"/>
        </w:rPr>
        <w:t>得分率0%</w:t>
      </w:r>
      <w:r>
        <w:rPr>
          <w:rFonts w:hint="eastAsia" w:ascii="仿宋_GB2312"/>
          <w:bCs/>
          <w:color w:val="auto"/>
          <w:szCs w:val="28"/>
          <w:highlight w:val="none"/>
          <w:lang w:val="en-US" w:eastAsia="zh-CN"/>
        </w:rPr>
        <w:t>。</w:t>
      </w:r>
    </w:p>
    <w:p w14:paraId="6E6EBF09">
      <w:pPr>
        <w:spacing w:line="360" w:lineRule="auto"/>
        <w:ind w:firstLine="562"/>
        <w:rPr>
          <w:rFonts w:hint="eastAsia" w:ascii="仿宋_GB2312"/>
          <w:b/>
          <w:bCs w:val="0"/>
          <w:color w:val="auto"/>
          <w:szCs w:val="28"/>
          <w:highlight w:val="none"/>
          <w:lang w:val="en-US" w:eastAsia="zh-CN"/>
        </w:rPr>
      </w:pPr>
      <w:r>
        <w:rPr>
          <w:rFonts w:hint="eastAsia" w:ascii="仿宋_GB2312"/>
          <w:b/>
          <w:bCs w:val="0"/>
          <w:color w:val="auto"/>
          <w:szCs w:val="28"/>
          <w:highlight w:val="none"/>
          <w:lang w:val="en-US" w:eastAsia="zh-CN"/>
        </w:rPr>
        <w:t>综上，该指标满分40分，得分36.4分。</w:t>
      </w:r>
    </w:p>
    <w:p w14:paraId="14E80697">
      <w:pPr>
        <w:pStyle w:val="3"/>
        <w:ind w:firstLine="643"/>
        <w:rPr>
          <w:rFonts w:ascii="仿宋" w:hAnsi="仿宋" w:eastAsia="仿宋"/>
          <w:color w:val="auto"/>
          <w:highlight w:val="none"/>
          <w:lang w:bidi="en-US"/>
        </w:rPr>
      </w:pPr>
      <w:bookmarkStart w:id="52" w:name="_Toc196487565"/>
      <w:r>
        <w:rPr>
          <w:rFonts w:ascii="仿宋" w:hAnsi="仿宋" w:eastAsia="仿宋"/>
          <w:color w:val="auto"/>
          <w:highlight w:val="none"/>
          <w:lang w:bidi="en-US"/>
        </w:rPr>
        <w:t>（四）项目效益</w:t>
      </w:r>
      <w:bookmarkEnd w:id="52"/>
    </w:p>
    <w:p w14:paraId="79AAA36F">
      <w:pPr>
        <w:spacing w:line="360" w:lineRule="auto"/>
        <w:ind w:firstLine="560"/>
        <w:rPr>
          <w:rFonts w:ascii="仿宋_GB2312"/>
          <w:color w:val="auto"/>
          <w:szCs w:val="28"/>
          <w:highlight w:val="none"/>
        </w:rPr>
      </w:pPr>
      <w:r>
        <w:rPr>
          <w:rFonts w:hint="eastAsia" w:ascii="仿宋_GB2312"/>
          <w:color w:val="auto"/>
          <w:szCs w:val="28"/>
          <w:highlight w:val="none"/>
        </w:rPr>
        <w:t>项目效益指标由</w:t>
      </w:r>
      <w:r>
        <w:rPr>
          <w:rFonts w:ascii="仿宋_GB2312"/>
          <w:color w:val="auto"/>
          <w:szCs w:val="28"/>
          <w:highlight w:val="none"/>
        </w:rPr>
        <w:t>1</w:t>
      </w:r>
      <w:r>
        <w:rPr>
          <w:rFonts w:hint="eastAsia" w:ascii="仿宋_GB2312"/>
          <w:color w:val="auto"/>
          <w:szCs w:val="28"/>
          <w:highlight w:val="none"/>
        </w:rPr>
        <w:t>个二级指标和</w:t>
      </w:r>
      <w:r>
        <w:rPr>
          <w:rFonts w:hint="eastAsia" w:ascii="仿宋_GB2312"/>
          <w:color w:val="auto"/>
          <w:szCs w:val="28"/>
          <w:highlight w:val="none"/>
          <w:lang w:val="en-US" w:eastAsia="zh-CN"/>
        </w:rPr>
        <w:t>1</w:t>
      </w:r>
      <w:r>
        <w:rPr>
          <w:rFonts w:hint="eastAsia" w:ascii="仿宋_GB2312"/>
          <w:color w:val="auto"/>
          <w:szCs w:val="28"/>
          <w:highlight w:val="none"/>
        </w:rPr>
        <w:t>个三级指标构成，权重为</w:t>
      </w:r>
      <w:r>
        <w:rPr>
          <w:rFonts w:hint="eastAsia" w:ascii="仿宋_GB2312"/>
          <w:color w:val="auto"/>
          <w:szCs w:val="28"/>
          <w:highlight w:val="none"/>
          <w:lang w:val="en-US" w:eastAsia="zh-CN"/>
        </w:rPr>
        <w:t>1</w:t>
      </w:r>
      <w:r>
        <w:rPr>
          <w:rFonts w:ascii="仿宋_GB2312"/>
          <w:color w:val="auto"/>
          <w:szCs w:val="28"/>
          <w:highlight w:val="none"/>
        </w:rPr>
        <w:t>0</w:t>
      </w:r>
      <w:r>
        <w:rPr>
          <w:rFonts w:hint="eastAsia" w:ascii="仿宋_GB2312"/>
          <w:color w:val="auto"/>
          <w:szCs w:val="28"/>
          <w:highlight w:val="none"/>
        </w:rPr>
        <w:t>分，实际得分</w:t>
      </w:r>
      <w:r>
        <w:rPr>
          <w:rFonts w:hint="eastAsia" w:ascii="仿宋_GB2312"/>
          <w:color w:val="auto"/>
          <w:szCs w:val="28"/>
          <w:highlight w:val="none"/>
          <w:lang w:val="en-US" w:eastAsia="zh-CN"/>
        </w:rPr>
        <w:t>10</w:t>
      </w:r>
      <w:r>
        <w:rPr>
          <w:rFonts w:hint="eastAsia" w:ascii="仿宋_GB2312"/>
          <w:color w:val="auto"/>
          <w:szCs w:val="28"/>
          <w:highlight w:val="none"/>
        </w:rPr>
        <w:t>分。</w:t>
      </w:r>
      <w:r>
        <w:rPr>
          <w:rFonts w:ascii="仿宋_GB2312"/>
          <w:color w:val="auto"/>
          <w:szCs w:val="28"/>
          <w:highlight w:val="none"/>
        </w:rPr>
        <w:t xml:space="preserve"> </w:t>
      </w:r>
    </w:p>
    <w:p w14:paraId="25FD88FE">
      <w:pPr>
        <w:spacing w:line="360" w:lineRule="auto"/>
        <w:ind w:firstLine="562"/>
        <w:rPr>
          <w:rFonts w:ascii="仿宋_GB2312"/>
          <w:b/>
          <w:bCs/>
          <w:color w:val="auto"/>
          <w:szCs w:val="28"/>
          <w:highlight w:val="none"/>
        </w:rPr>
      </w:pPr>
      <w:r>
        <w:rPr>
          <w:rFonts w:hint="eastAsia" w:ascii="仿宋_GB2312"/>
          <w:b/>
          <w:bCs/>
          <w:color w:val="auto"/>
          <w:szCs w:val="28"/>
          <w:highlight w:val="none"/>
        </w:rPr>
        <w:t>（1）实施效益</w:t>
      </w:r>
    </w:p>
    <w:p w14:paraId="6B980E5F">
      <w:pPr>
        <w:spacing w:line="360" w:lineRule="auto"/>
        <w:ind w:firstLine="562"/>
        <w:rPr>
          <w:rFonts w:ascii="仿宋_GB2312"/>
          <w:color w:val="auto"/>
          <w:szCs w:val="28"/>
          <w:highlight w:val="none"/>
        </w:rPr>
      </w:pPr>
      <w:r>
        <w:rPr>
          <w:rFonts w:hint="eastAsia" w:ascii="仿宋_GB2312"/>
          <w:b/>
          <w:bCs/>
          <w:color w:val="auto"/>
          <w:szCs w:val="28"/>
          <w:highlight w:val="none"/>
        </w:rPr>
        <w:t>经济效益指标：</w:t>
      </w:r>
      <w:r>
        <w:rPr>
          <w:rFonts w:hint="eastAsia" w:ascii="仿宋_GB2312"/>
          <w:color w:val="auto"/>
          <w:szCs w:val="28"/>
          <w:highlight w:val="none"/>
        </w:rPr>
        <w:t>不适用。</w:t>
      </w:r>
      <w:r>
        <w:rPr>
          <w:rFonts w:ascii="仿宋_GB2312"/>
          <w:color w:val="auto"/>
          <w:szCs w:val="28"/>
          <w:highlight w:val="none"/>
        </w:rPr>
        <w:t xml:space="preserve"> </w:t>
      </w:r>
    </w:p>
    <w:p w14:paraId="4659071F">
      <w:pPr>
        <w:autoSpaceDE w:val="0"/>
        <w:spacing w:line="560" w:lineRule="exact"/>
        <w:ind w:firstLine="640"/>
        <w:rPr>
          <w:rFonts w:hint="eastAsia" w:ascii="仿宋_GB2312"/>
          <w:bCs/>
          <w:color w:val="auto"/>
          <w:szCs w:val="28"/>
          <w:highlight w:val="none"/>
          <w:lang w:val="en-US" w:eastAsia="zh-CN"/>
        </w:rPr>
      </w:pPr>
      <w:r>
        <w:rPr>
          <w:rFonts w:hint="eastAsia" w:ascii="仿宋_GB2312"/>
          <w:b/>
          <w:bCs/>
          <w:color w:val="auto"/>
          <w:szCs w:val="28"/>
          <w:highlight w:val="none"/>
        </w:rPr>
        <w:t>社会效益指标</w:t>
      </w:r>
      <w:r>
        <w:rPr>
          <w:rFonts w:hint="eastAsia" w:ascii="仿宋_GB2312"/>
          <w:color w:val="auto"/>
          <w:szCs w:val="28"/>
          <w:highlight w:val="none"/>
        </w:rPr>
        <w:t>：</w:t>
      </w:r>
      <w:r>
        <w:rPr>
          <w:rFonts w:hint="eastAsia" w:ascii="仿宋_GB2312"/>
          <w:bCs/>
          <w:color w:val="auto"/>
          <w:szCs w:val="28"/>
          <w:highlight w:val="none"/>
          <w:lang w:val="en-US" w:eastAsia="zh-CN"/>
        </w:rPr>
        <w:t>评价指标“提高社区工作效率”，指标值：有效提高，实际完成值：达成年度指标。本项目的实施保障了社区的平稳、正常运行，强化了基层阵地的建设，给社区居民提供高质量的服务，提高了社区工作人员的工作积极性，密切了党同人民群众之间的联系，稳固了党的基层政权。赋分10分，实际得分10分，得分率100%。</w:t>
      </w:r>
    </w:p>
    <w:p w14:paraId="2309BF74">
      <w:pPr>
        <w:spacing w:line="360" w:lineRule="auto"/>
        <w:ind w:firstLine="562"/>
        <w:rPr>
          <w:rFonts w:ascii="仿宋_GB2312"/>
          <w:color w:val="auto"/>
          <w:szCs w:val="28"/>
          <w:highlight w:val="none"/>
        </w:rPr>
      </w:pPr>
      <w:r>
        <w:rPr>
          <w:rFonts w:hint="eastAsia" w:ascii="仿宋_GB2312"/>
          <w:b/>
          <w:bCs/>
          <w:color w:val="auto"/>
          <w:szCs w:val="28"/>
          <w:highlight w:val="none"/>
        </w:rPr>
        <w:t>生态效益指标</w:t>
      </w:r>
      <w:r>
        <w:rPr>
          <w:rFonts w:hint="eastAsia" w:ascii="仿宋_GB2312"/>
          <w:color w:val="auto"/>
          <w:szCs w:val="28"/>
          <w:highlight w:val="none"/>
        </w:rPr>
        <w:t>：不适用。</w:t>
      </w:r>
    </w:p>
    <w:p w14:paraId="0B3557E5">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10</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10</w:t>
      </w:r>
      <w:r>
        <w:rPr>
          <w:rFonts w:hint="eastAsia" w:ascii="仿宋_GB2312" w:hAnsi="仿宋" w:cs="宋体"/>
          <w:b/>
          <w:color w:val="auto"/>
          <w:kern w:val="0"/>
          <w:szCs w:val="28"/>
          <w:highlight w:val="none"/>
        </w:rPr>
        <w:t>分。</w:t>
      </w:r>
    </w:p>
    <w:p w14:paraId="4499A199">
      <w:pPr>
        <w:pStyle w:val="3"/>
        <w:ind w:firstLine="643"/>
        <w:rPr>
          <w:rFonts w:ascii="仿宋" w:hAnsi="仿宋" w:eastAsia="仿宋"/>
          <w:color w:val="auto"/>
          <w:highlight w:val="none"/>
          <w:lang w:bidi="en-US"/>
        </w:rPr>
      </w:pPr>
      <w:bookmarkStart w:id="53" w:name="_Toc196487566"/>
      <w:r>
        <w:rPr>
          <w:rFonts w:hint="eastAsia" w:ascii="仿宋" w:hAnsi="仿宋" w:eastAsia="仿宋"/>
          <w:color w:val="auto"/>
          <w:highlight w:val="none"/>
          <w:lang w:bidi="en-US"/>
        </w:rPr>
        <w:t>（五）</w:t>
      </w:r>
      <w:r>
        <w:rPr>
          <w:rFonts w:ascii="仿宋" w:hAnsi="仿宋" w:eastAsia="仿宋"/>
          <w:color w:val="auto"/>
          <w:highlight w:val="none"/>
          <w:lang w:bidi="en-US"/>
        </w:rPr>
        <w:t>满意度指标完成情况分析</w:t>
      </w:r>
      <w:bookmarkEnd w:id="53"/>
    </w:p>
    <w:p w14:paraId="653DBF07">
      <w:pPr>
        <w:spacing w:line="360" w:lineRule="auto"/>
        <w:ind w:firstLine="562"/>
        <w:rPr>
          <w:rFonts w:ascii="仿宋_GB2312"/>
          <w:b/>
          <w:bCs/>
          <w:color w:val="auto"/>
          <w:szCs w:val="28"/>
          <w:highlight w:val="none"/>
        </w:rPr>
      </w:pPr>
      <w:r>
        <w:rPr>
          <w:rFonts w:hint="eastAsia" w:ascii="仿宋_GB2312"/>
          <w:b/>
          <w:bCs/>
          <w:color w:val="auto"/>
          <w:szCs w:val="28"/>
          <w:highlight w:val="none"/>
        </w:rPr>
        <w:t>（</w:t>
      </w:r>
      <w:r>
        <w:rPr>
          <w:rFonts w:ascii="仿宋_GB2312"/>
          <w:b/>
          <w:bCs/>
          <w:color w:val="auto"/>
          <w:szCs w:val="28"/>
          <w:highlight w:val="none"/>
        </w:rPr>
        <w:t>1</w:t>
      </w:r>
      <w:r>
        <w:rPr>
          <w:rFonts w:hint="eastAsia" w:ascii="仿宋_GB2312"/>
          <w:b/>
          <w:bCs/>
          <w:color w:val="auto"/>
          <w:szCs w:val="28"/>
          <w:highlight w:val="none"/>
        </w:rPr>
        <w:t>）满意度指标</w:t>
      </w:r>
    </w:p>
    <w:p w14:paraId="40D46C9F">
      <w:pPr>
        <w:spacing w:line="360" w:lineRule="auto"/>
        <w:ind w:firstLine="562"/>
        <w:rPr>
          <w:rFonts w:ascii="仿宋_GB2312"/>
          <w:color w:val="auto"/>
          <w:szCs w:val="28"/>
          <w:highlight w:val="none"/>
        </w:rPr>
      </w:pPr>
      <w:r>
        <w:rPr>
          <w:rFonts w:hint="eastAsia" w:ascii="仿宋_GB2312"/>
          <w:b/>
          <w:bCs/>
          <w:color w:val="auto"/>
          <w:szCs w:val="28"/>
          <w:highlight w:val="none"/>
        </w:rPr>
        <w:t>群众满意度：</w:t>
      </w:r>
      <w:r>
        <w:rPr>
          <w:rFonts w:hint="eastAsia" w:ascii="仿宋_GB2312"/>
          <w:bCs/>
          <w:color w:val="auto"/>
          <w:szCs w:val="28"/>
          <w:highlight w:val="none"/>
          <w:lang w:val="en-US" w:eastAsia="zh-CN"/>
        </w:rPr>
        <w:t>评价指标“辖区居民满意度”，指标值：≥90%，实际完成值：＝100%。通过设置问卷调查的方式进行考评评价，共计调查样本总量为22个样本，有效调查问卷22份。其中，统计辖区居民满意度“您对街道提供的各项服务（如环境卫生、公共设施维护）的整体满意度是？”选项“非常满意”的</w:t>
      </w:r>
      <w:r>
        <w:rPr>
          <w:rFonts w:hint="eastAsia" w:ascii="仿宋_GB2312"/>
          <w:color w:val="auto"/>
          <w:szCs w:val="28"/>
          <w:highlight w:val="none"/>
        </w:rPr>
        <w:t>平均值为</w:t>
      </w:r>
      <w:r>
        <w:rPr>
          <w:rFonts w:hint="eastAsia" w:ascii="仿宋_GB2312"/>
          <w:color w:val="auto"/>
          <w:szCs w:val="28"/>
          <w:highlight w:val="none"/>
          <w:lang w:val="en-US" w:eastAsia="zh-CN"/>
        </w:rPr>
        <w:t>100</w:t>
      </w:r>
      <w:r>
        <w:rPr>
          <w:rFonts w:hint="eastAsia" w:ascii="仿宋_GB2312"/>
          <w:color w:val="auto"/>
          <w:szCs w:val="28"/>
          <w:highlight w:val="none"/>
        </w:rPr>
        <w:t>%。故满意度指标得分为</w:t>
      </w:r>
      <w:r>
        <w:rPr>
          <w:rFonts w:hint="eastAsia" w:ascii="仿宋_GB2312"/>
          <w:color w:val="auto"/>
          <w:szCs w:val="28"/>
          <w:highlight w:val="none"/>
          <w:lang w:val="en-US" w:eastAsia="zh-CN"/>
        </w:rPr>
        <w:t>10</w:t>
      </w:r>
      <w:r>
        <w:rPr>
          <w:rFonts w:hint="eastAsia" w:ascii="仿宋_GB2312"/>
          <w:color w:val="auto"/>
          <w:szCs w:val="28"/>
          <w:highlight w:val="none"/>
        </w:rPr>
        <w:t>分。</w:t>
      </w:r>
    </w:p>
    <w:p w14:paraId="32E8430C">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10</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10</w:t>
      </w:r>
      <w:r>
        <w:rPr>
          <w:rFonts w:hint="eastAsia" w:ascii="仿宋_GB2312" w:hAnsi="仿宋" w:cs="宋体"/>
          <w:b/>
          <w:color w:val="auto"/>
          <w:kern w:val="0"/>
          <w:szCs w:val="28"/>
          <w:highlight w:val="none"/>
        </w:rPr>
        <w:t>分。</w:t>
      </w:r>
    </w:p>
    <w:p w14:paraId="547432AF">
      <w:pPr>
        <w:pStyle w:val="2"/>
        <w:ind w:firstLine="0" w:firstLineChars="0"/>
        <w:jc w:val="left"/>
        <w:rPr>
          <w:rFonts w:ascii="仿宋" w:hAnsi="仿宋" w:eastAsia="仿宋"/>
          <w:color w:val="auto"/>
          <w:sz w:val="36"/>
          <w:szCs w:val="36"/>
          <w:highlight w:val="none"/>
          <w:lang w:bidi="en-US"/>
        </w:rPr>
      </w:pPr>
      <w:bookmarkStart w:id="54" w:name="_Toc67911617"/>
      <w:bookmarkStart w:id="55" w:name="_Toc196487567"/>
      <w:r>
        <w:rPr>
          <w:rFonts w:hint="eastAsia" w:ascii="仿宋" w:hAnsi="仿宋" w:eastAsia="仿宋"/>
          <w:color w:val="auto"/>
          <w:sz w:val="36"/>
          <w:szCs w:val="36"/>
          <w:highlight w:val="none"/>
          <w:lang w:bidi="en-US"/>
        </w:rPr>
        <w:t>五、主要经验及做法、存在的问题及原因分析</w:t>
      </w:r>
      <w:bookmarkEnd w:id="54"/>
      <w:bookmarkEnd w:id="55"/>
    </w:p>
    <w:p w14:paraId="32A4EB7F">
      <w:pPr>
        <w:pStyle w:val="3"/>
        <w:ind w:firstLine="643"/>
        <w:rPr>
          <w:rFonts w:ascii="仿宋" w:hAnsi="仿宋" w:eastAsia="仿宋"/>
          <w:color w:val="auto"/>
          <w:highlight w:val="none"/>
          <w:lang w:bidi="en-US"/>
        </w:rPr>
      </w:pPr>
      <w:bookmarkStart w:id="56" w:name="_Toc196487568"/>
      <w:bookmarkStart w:id="57" w:name="_Toc67911618"/>
      <w:r>
        <w:rPr>
          <w:rFonts w:hint="eastAsia" w:ascii="仿宋" w:hAnsi="仿宋" w:eastAsia="仿宋"/>
          <w:color w:val="auto"/>
          <w:highlight w:val="none"/>
          <w:lang w:bidi="en-US"/>
        </w:rPr>
        <w:t>（一）主要经验及做法</w:t>
      </w:r>
      <w:bookmarkEnd w:id="56"/>
      <w:bookmarkEnd w:id="57"/>
    </w:p>
    <w:p w14:paraId="59E22467">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lang w:val="en-US" w:eastAsia="zh-CN"/>
        </w:rPr>
        <w:t>1.</w:t>
      </w:r>
      <w:r>
        <w:rPr>
          <w:rFonts w:ascii="仿宋_GB2312" w:hAnsi="仿宋" w:cs="宋体"/>
          <w:color w:val="auto"/>
          <w:kern w:val="0"/>
          <w:szCs w:val="28"/>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758DCDE">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lang w:val="en-US" w:eastAsia="zh-CN"/>
        </w:rPr>
        <w:t>2.</w:t>
      </w:r>
      <w:r>
        <w:rPr>
          <w:rFonts w:ascii="仿宋_GB2312" w:hAnsi="仿宋" w:cs="宋体"/>
          <w:color w:val="auto"/>
          <w:kern w:val="0"/>
          <w:szCs w:val="28"/>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CDB0DEC">
      <w:pPr>
        <w:spacing w:line="360" w:lineRule="auto"/>
        <w:ind w:firstLine="560"/>
        <w:rPr>
          <w:rFonts w:hint="eastAsia" w:ascii="仿宋_GB2312" w:hAnsi="仿宋" w:cs="宋体"/>
          <w:color w:val="auto"/>
          <w:kern w:val="0"/>
          <w:szCs w:val="28"/>
          <w:highlight w:val="none"/>
          <w:lang w:val="en-US" w:eastAsia="zh-CN"/>
        </w:rPr>
      </w:pPr>
      <w:r>
        <w:rPr>
          <w:rFonts w:hint="eastAsia" w:ascii="仿宋_GB2312" w:hAnsi="仿宋" w:cs="宋体"/>
          <w:color w:val="auto"/>
          <w:kern w:val="0"/>
          <w:szCs w:val="28"/>
          <w:highlight w:val="none"/>
          <w:lang w:val="en-US" w:eastAsia="zh-CN"/>
        </w:rPr>
        <w:t>3. 注重目标管理。在预算编制环节，要求各科室按照“谁申请资金，谁设定目标”原则，结合工作任务和预期效果，科学合理编制绩效目标。目标设定做到定性与定量相结合，以定量指标为主，细化、量化可衡量。财政所严格审核绩效目标，对不符合要求的退回修改，确保绩效目标与预算资金紧密挂钩、清晰明确、切实可行 。</w:t>
      </w:r>
    </w:p>
    <w:p w14:paraId="2E7BB5C9">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lang w:val="en-US" w:eastAsia="zh-CN"/>
        </w:rPr>
        <w:t>4. 严格过程监控。建立预算执行和绩效目标“双监控”机制，各科室定期对项目执行进度、资金使用情况及绩效目标完成程度进行自查，形成监控报告。财务部门按季度开展重点监控，对发现的问题及时反馈并督促整改，如预算执行缓慢、绩效目标偏离等，确保项目按计划推进，资金使用效益逐步显现。</w:t>
      </w:r>
    </w:p>
    <w:p w14:paraId="61826401">
      <w:pPr>
        <w:pStyle w:val="3"/>
        <w:ind w:firstLine="643"/>
        <w:rPr>
          <w:rFonts w:ascii="仿宋_GB2312"/>
          <w:b/>
          <w:bCs/>
          <w:color w:val="auto"/>
          <w:szCs w:val="28"/>
          <w:highlight w:val="none"/>
        </w:rPr>
      </w:pPr>
      <w:bookmarkStart w:id="58" w:name="_Toc196487569"/>
      <w:r>
        <w:rPr>
          <w:rFonts w:hint="eastAsia" w:ascii="仿宋" w:hAnsi="仿宋" w:eastAsia="仿宋"/>
          <w:color w:val="auto"/>
          <w:highlight w:val="none"/>
          <w:lang w:bidi="en-US"/>
        </w:rPr>
        <w:t>（二）存在的问题及原因分析</w:t>
      </w:r>
      <w:bookmarkEnd w:id="58"/>
    </w:p>
    <w:p w14:paraId="7CDAA8C7">
      <w:pPr>
        <w:spacing w:line="360" w:lineRule="auto"/>
        <w:ind w:firstLine="560"/>
        <w:rPr>
          <w:rFonts w:hint="eastAsia" w:ascii="仿宋_GB2312" w:hAnsi="仿宋" w:cs="宋体"/>
          <w:color w:val="auto"/>
          <w:kern w:val="0"/>
          <w:szCs w:val="28"/>
          <w:highlight w:val="none"/>
          <w:lang w:val="en-US" w:eastAsia="zh-CN"/>
        </w:rPr>
      </w:pPr>
      <w:r>
        <w:rPr>
          <w:rFonts w:hint="eastAsia" w:ascii="仿宋_GB2312" w:hAnsi="仿宋" w:cs="宋体"/>
          <w:color w:val="auto"/>
          <w:kern w:val="0"/>
          <w:szCs w:val="28"/>
          <w:highlight w:val="none"/>
        </w:rPr>
        <w:t>1.</w:t>
      </w:r>
      <w:r>
        <w:rPr>
          <w:rFonts w:hint="eastAsia" w:ascii="仿宋_GB2312" w:hAnsi="仿宋" w:cs="宋体"/>
          <w:color w:val="auto"/>
          <w:kern w:val="0"/>
          <w:szCs w:val="28"/>
          <w:highlight w:val="none"/>
          <w:lang w:val="en-US" w:eastAsia="zh-CN"/>
        </w:rPr>
        <w:t>社区经费主要以区级财政投入为主，当前全区重点工作和建设任务较多，区级财政资金压力日益增大。还需要完善内部控制体系建设，建立项目的绩效跟踪机制，对项目执行进情况行督促落实，确保财政资金发挥最大效益。</w:t>
      </w:r>
    </w:p>
    <w:p w14:paraId="09E5B892">
      <w:pPr>
        <w:spacing w:line="360" w:lineRule="auto"/>
        <w:ind w:firstLine="560"/>
        <w:rPr>
          <w:rFonts w:hint="eastAsia" w:ascii="仿宋_GB2312" w:hAnsi="仿宋" w:cs="宋体"/>
          <w:color w:val="auto"/>
          <w:kern w:val="0"/>
          <w:szCs w:val="28"/>
          <w:highlight w:val="none"/>
        </w:rPr>
      </w:pPr>
      <w:r>
        <w:rPr>
          <w:rFonts w:hint="eastAsia" w:ascii="仿宋_GB2312" w:hAnsi="仿宋" w:cs="宋体"/>
          <w:color w:val="auto"/>
          <w:kern w:val="0"/>
          <w:szCs w:val="28"/>
          <w:highlight w:val="none"/>
          <w:lang w:val="en-US" w:eastAsia="zh-CN"/>
        </w:rPr>
        <w:t>2.不断完善改进《社区经费使用管理办法》，根据实际情况，规范资金使用合理，票据规范完整，确保经费用到实处，合理规划开支，保障全年经费使用充足。加强维护稳定、民生、疫情防控等相关支出。确保项目经费专款专用，使用合理合法。</w:t>
      </w:r>
    </w:p>
    <w:p w14:paraId="2A58C018">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lang w:val="en-US" w:eastAsia="zh-CN"/>
        </w:rPr>
        <w:t>3</w:t>
      </w:r>
      <w:r>
        <w:rPr>
          <w:rFonts w:hint="eastAsia" w:ascii="仿宋_GB2312" w:hAnsi="仿宋" w:cs="宋体"/>
          <w:color w:val="auto"/>
          <w:kern w:val="0"/>
          <w:szCs w:val="28"/>
          <w:highlight w:val="none"/>
        </w:rPr>
        <w:t>.相关绩效管理方面专业知识的系统性学习有待加强。各项指标的设置要进一步优化、完善，主要在细化、量化上改进。在绩效自评过程中，</w:t>
      </w:r>
      <w:r>
        <w:rPr>
          <w:rFonts w:hint="eastAsia" w:ascii="仿宋_GB2312" w:hAnsi="仿宋" w:cs="宋体"/>
          <w:color w:val="auto"/>
          <w:kern w:val="0"/>
          <w:sz w:val="28"/>
          <w:szCs w:val="28"/>
          <w:highlight w:val="none"/>
          <w:lang w:val="en-US" w:eastAsia="zh-CN"/>
        </w:rPr>
        <w:t>由于部分人员</w:t>
      </w:r>
      <w:r>
        <w:rPr>
          <w:rFonts w:hint="eastAsia" w:ascii="仿宋_GB2312" w:hAnsi="仿宋" w:cs="宋体"/>
          <w:color w:val="auto"/>
          <w:kern w:val="0"/>
          <w:szCs w:val="28"/>
          <w:highlight w:val="none"/>
        </w:rPr>
        <w:t>缺乏相关绩效管理专业知识，自评价工作还存在自我审定的局限性，影响评价质量。</w:t>
      </w:r>
    </w:p>
    <w:p w14:paraId="0463FE00">
      <w:pPr>
        <w:spacing w:line="360" w:lineRule="auto"/>
        <w:ind w:firstLine="560"/>
        <w:rPr>
          <w:rFonts w:hint="eastAsia" w:ascii="仿宋_GB2312" w:hAnsi="仿宋" w:cs="宋体"/>
          <w:color w:val="auto"/>
          <w:kern w:val="0"/>
          <w:szCs w:val="28"/>
          <w:highlight w:val="none"/>
        </w:rPr>
      </w:pPr>
      <w:r>
        <w:rPr>
          <w:rFonts w:hint="eastAsia" w:ascii="仿宋_GB2312" w:hAnsi="仿宋" w:cs="宋体"/>
          <w:color w:val="auto"/>
          <w:kern w:val="0"/>
          <w:szCs w:val="28"/>
          <w:highlight w:val="none"/>
          <w:lang w:val="en-US" w:eastAsia="zh-CN"/>
        </w:rPr>
        <w:t>4</w:t>
      </w:r>
      <w:r>
        <w:rPr>
          <w:rFonts w:hint="eastAsia" w:ascii="仿宋_GB2312" w:hAnsi="仿宋" w:cs="宋体"/>
          <w:color w:val="auto"/>
          <w:kern w:val="0"/>
          <w:szCs w:val="28"/>
          <w:highlight w:val="none"/>
        </w:rPr>
        <w:t>.认识与重视不足</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部分科室对预算绩效管理的重要性认识不够深刻，认为只是财务部门的工作，参与积极性不高。在工作中，重预算申报、轻绩效管理，对绩效目标设定、监控和评价敷衍了事，影响工作整体推进。</w:t>
      </w:r>
    </w:p>
    <w:p w14:paraId="3E8C1E90">
      <w:pPr>
        <w:spacing w:line="360" w:lineRule="auto"/>
        <w:ind w:firstLine="560"/>
        <w:rPr>
          <w:rFonts w:hint="eastAsia" w:ascii="仿宋_GB2312" w:hAnsi="仿宋" w:cs="宋体"/>
          <w:color w:val="auto"/>
          <w:kern w:val="0"/>
          <w:szCs w:val="28"/>
          <w:highlight w:val="none"/>
        </w:rPr>
      </w:pPr>
      <w:r>
        <w:rPr>
          <w:rFonts w:hint="eastAsia" w:ascii="仿宋_GB2312" w:hAnsi="仿宋" w:cs="宋体"/>
          <w:color w:val="auto"/>
          <w:kern w:val="0"/>
          <w:szCs w:val="28"/>
          <w:highlight w:val="none"/>
          <w:lang w:val="en-US" w:eastAsia="zh-CN"/>
        </w:rPr>
        <w:t>5.</w:t>
      </w:r>
      <w:r>
        <w:rPr>
          <w:rFonts w:hint="eastAsia" w:ascii="仿宋_GB2312" w:hAnsi="仿宋" w:cs="宋体"/>
          <w:color w:val="auto"/>
          <w:kern w:val="0"/>
          <w:szCs w:val="28"/>
          <w:highlight w:val="none"/>
        </w:rPr>
        <w:t>人员专业能力欠缺</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街道预算绩效管理工作涉及多领域业务知识和专业技能，但目前相关工作</w:t>
      </w:r>
      <w:r>
        <w:rPr>
          <w:rFonts w:hint="eastAsia" w:ascii="仿宋_GB2312" w:hAnsi="仿宋" w:cs="宋体"/>
          <w:color w:val="auto"/>
          <w:kern w:val="0"/>
          <w:szCs w:val="28"/>
          <w:highlight w:val="none"/>
          <w:lang w:eastAsia="zh-CN"/>
        </w:rPr>
        <w:t>均由</w:t>
      </w:r>
      <w:r>
        <w:rPr>
          <w:rFonts w:hint="eastAsia" w:ascii="仿宋_GB2312" w:hAnsi="仿宋" w:cs="宋体"/>
          <w:color w:val="auto"/>
          <w:kern w:val="0"/>
          <w:szCs w:val="28"/>
          <w:highlight w:val="none"/>
        </w:rPr>
        <w:t>财务</w:t>
      </w:r>
      <w:r>
        <w:rPr>
          <w:rFonts w:hint="eastAsia" w:ascii="仿宋_GB2312" w:hAnsi="仿宋" w:cs="宋体"/>
          <w:color w:val="auto"/>
          <w:kern w:val="0"/>
          <w:szCs w:val="28"/>
          <w:highlight w:val="none"/>
          <w:lang w:eastAsia="zh-CN"/>
        </w:rPr>
        <w:t>完成</w:t>
      </w:r>
      <w:r>
        <w:rPr>
          <w:rFonts w:hint="eastAsia" w:ascii="仿宋_GB2312" w:hAnsi="仿宋" w:cs="宋体"/>
          <w:color w:val="auto"/>
          <w:kern w:val="0"/>
          <w:szCs w:val="28"/>
          <w:highlight w:val="none"/>
        </w:rPr>
        <w:t>，缺乏项目管理、业务分析等方面的综合能力。在绩效目标审核、评价报告撰写等关键环节，难以深入分析问题、提出有效建议 。</w:t>
      </w:r>
    </w:p>
    <w:p w14:paraId="78602649">
      <w:pPr>
        <w:spacing w:line="360" w:lineRule="auto"/>
        <w:ind w:firstLine="560"/>
        <w:rPr>
          <w:rFonts w:hint="eastAsia" w:ascii="仿宋_GB2312" w:hAnsi="仿宋" w:cs="宋体"/>
          <w:color w:val="auto"/>
          <w:kern w:val="0"/>
          <w:szCs w:val="28"/>
          <w:highlight w:val="none"/>
          <w:lang w:eastAsia="zh-CN"/>
        </w:rPr>
      </w:pPr>
      <w:r>
        <w:rPr>
          <w:rFonts w:hint="eastAsia" w:ascii="仿宋_GB2312" w:hAnsi="仿宋" w:cs="宋体"/>
          <w:color w:val="auto"/>
          <w:kern w:val="0"/>
          <w:szCs w:val="28"/>
          <w:highlight w:val="none"/>
          <w:lang w:val="en-US" w:eastAsia="zh-CN"/>
        </w:rPr>
        <w:t>6.</w:t>
      </w:r>
      <w:r>
        <w:rPr>
          <w:rFonts w:hint="eastAsia" w:ascii="仿宋_GB2312" w:hAnsi="仿宋" w:cs="宋体"/>
          <w:color w:val="auto"/>
          <w:kern w:val="0"/>
          <w:szCs w:val="28"/>
          <w:highlight w:val="none"/>
        </w:rPr>
        <w:t>结果应用不充分</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rPr>
        <w:t>虽然建立了绩效评价结果应用机制，但在实际执行中，部分结果应用仅停留在表面，对预算调整、项目优化的影响有限。同时，缺乏对绩效评价结果的深入分析和反馈，未充分挖掘结果背后的问题，难以发挥结果应用对预算管理和业务工作的促进作</w:t>
      </w:r>
      <w:r>
        <w:rPr>
          <w:rFonts w:hint="eastAsia" w:ascii="仿宋_GB2312" w:hAnsi="仿宋" w:cs="宋体"/>
          <w:color w:val="auto"/>
          <w:kern w:val="0"/>
          <w:szCs w:val="28"/>
          <w:highlight w:val="none"/>
          <w:lang w:eastAsia="zh-CN"/>
        </w:rPr>
        <w:t>用。</w:t>
      </w:r>
      <w:bookmarkStart w:id="59" w:name="_Toc196487570"/>
      <w:bookmarkStart w:id="60" w:name="_Toc67911620"/>
      <w:bookmarkStart w:id="61" w:name="_Toc67911619"/>
    </w:p>
    <w:p w14:paraId="1514A20F">
      <w:pPr>
        <w:pStyle w:val="2"/>
        <w:ind w:firstLine="0" w:firstLineChars="0"/>
        <w:jc w:val="left"/>
        <w:rPr>
          <w:rFonts w:hint="eastAsia" w:ascii="仿宋_GB2312"/>
          <w:color w:val="auto"/>
          <w:szCs w:val="28"/>
          <w:highlight w:val="none"/>
        </w:rPr>
      </w:pPr>
      <w:r>
        <w:rPr>
          <w:rFonts w:hint="eastAsia" w:ascii="仿宋" w:hAnsi="仿宋" w:eastAsia="仿宋"/>
          <w:color w:val="auto"/>
          <w:sz w:val="36"/>
          <w:szCs w:val="36"/>
          <w:highlight w:val="none"/>
          <w:lang w:bidi="en-US"/>
        </w:rPr>
        <w:t>六、有关建议</w:t>
      </w:r>
      <w:bookmarkEnd w:id="59"/>
      <w:bookmarkEnd w:id="60"/>
    </w:p>
    <w:p w14:paraId="35E0658D">
      <w:pPr>
        <w:spacing w:line="360" w:lineRule="auto"/>
        <w:ind w:firstLine="560"/>
        <w:rPr>
          <w:rFonts w:hint="eastAsia" w:ascii="仿宋_GB2312" w:hAnsi="仿宋" w:cs="宋体"/>
          <w:color w:val="auto"/>
          <w:kern w:val="0"/>
          <w:szCs w:val="28"/>
          <w:highlight w:val="none"/>
          <w:lang w:val="en-US" w:eastAsia="zh-CN"/>
        </w:rPr>
      </w:pPr>
      <w:r>
        <w:rPr>
          <w:rFonts w:hint="eastAsia" w:ascii="仿宋_GB2312" w:hAnsi="仿宋" w:cs="宋体"/>
          <w:color w:val="auto"/>
          <w:kern w:val="0"/>
          <w:szCs w:val="28"/>
          <w:highlight w:val="none"/>
          <w:lang w:val="en-US" w:eastAsia="zh-CN"/>
        </w:rPr>
        <w:t>1.多进行有关绩效管理工作方面的培训。积极组织第三方开展绩效管理工作培训，进一步夯实业务基础，提高我单位绩效人员水平。</w:t>
      </w:r>
    </w:p>
    <w:p w14:paraId="78D6ACF7">
      <w:pPr>
        <w:spacing w:line="360" w:lineRule="auto"/>
        <w:ind w:firstLine="560"/>
        <w:rPr>
          <w:rFonts w:hint="eastAsia" w:ascii="仿宋_GB2312" w:hAnsi="仿宋" w:cs="宋体"/>
          <w:color w:val="auto"/>
          <w:kern w:val="0"/>
          <w:szCs w:val="28"/>
          <w:highlight w:val="none"/>
          <w:lang w:val="en-US" w:eastAsia="zh-CN"/>
        </w:rPr>
      </w:pPr>
      <w:r>
        <w:rPr>
          <w:rFonts w:hint="eastAsia" w:ascii="仿宋_GB2312" w:hAnsi="仿宋" w:cs="宋体"/>
          <w:color w:val="auto"/>
          <w:kern w:val="0"/>
          <w:szCs w:val="28"/>
          <w:highlight w:val="none"/>
          <w:lang w:val="en-US" w:eastAsia="zh-CN"/>
        </w:rPr>
        <w:t>2.专门设定对绩效工作人员定职、定岗、定责等相关制度措施，进一步提升我单位绩效管理工作业务水平，扎实做好绩效管理工作。</w:t>
      </w:r>
    </w:p>
    <w:p w14:paraId="3350EBCB">
      <w:pPr>
        <w:spacing w:line="360" w:lineRule="auto"/>
        <w:ind w:firstLine="560"/>
        <w:rPr>
          <w:rFonts w:hint="eastAsia" w:ascii="仿宋_GB2312" w:hAnsi="仿宋" w:cs="宋体"/>
          <w:color w:val="auto"/>
          <w:kern w:val="0"/>
          <w:szCs w:val="28"/>
          <w:highlight w:val="none"/>
          <w:lang w:val="en-US" w:eastAsia="zh-CN"/>
        </w:rPr>
      </w:pPr>
      <w:r>
        <w:rPr>
          <w:rFonts w:hint="eastAsia" w:ascii="仿宋_GB2312" w:hAnsi="仿宋" w:cs="宋体"/>
          <w:color w:val="auto"/>
          <w:kern w:val="0"/>
          <w:szCs w:val="28"/>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CB06068">
      <w:pPr>
        <w:spacing w:line="360" w:lineRule="auto"/>
        <w:ind w:firstLine="560"/>
        <w:rPr>
          <w:rFonts w:hint="eastAsia" w:ascii="仿宋_GB2312" w:hAnsi="仿宋" w:cs="宋体"/>
          <w:color w:val="auto"/>
          <w:kern w:val="0"/>
          <w:szCs w:val="28"/>
          <w:highlight w:val="none"/>
          <w:lang w:val="en-US" w:eastAsia="zh-CN"/>
        </w:rPr>
      </w:pPr>
      <w:r>
        <w:rPr>
          <w:rFonts w:hint="eastAsia" w:ascii="仿宋_GB2312" w:hAnsi="仿宋" w:cs="宋体"/>
          <w:color w:val="auto"/>
          <w:kern w:val="0"/>
          <w:szCs w:val="28"/>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14:paraId="7E403253">
      <w:pPr>
        <w:spacing w:line="360" w:lineRule="auto"/>
        <w:ind w:firstLine="560"/>
        <w:rPr>
          <w:rFonts w:hint="eastAsia" w:ascii="仿宋_GB2312" w:hAnsi="仿宋" w:cs="宋体"/>
          <w:color w:val="auto"/>
          <w:kern w:val="0"/>
          <w:szCs w:val="28"/>
          <w:highlight w:val="none"/>
          <w:lang w:val="en-US" w:eastAsia="zh-CN"/>
        </w:rPr>
      </w:pPr>
      <w:r>
        <w:rPr>
          <w:rFonts w:hint="eastAsia" w:ascii="仿宋_GB2312" w:hAnsi="仿宋" w:cs="宋体"/>
          <w:color w:val="auto"/>
          <w:kern w:val="0"/>
          <w:szCs w:val="28"/>
          <w:highlight w:val="none"/>
          <w:lang w:val="en-US" w:eastAsia="zh-CN"/>
        </w:rPr>
        <w:t>5.进一步加强思想建设与组织领导，强化街道领导对预算绩效管理工作的统筹协调，定期召开会议研究解决工作中的重大问题，形成上下联动、协同推进的工作格局 。</w:t>
      </w:r>
    </w:p>
    <w:p w14:paraId="06BDAD64">
      <w:pPr>
        <w:spacing w:line="360" w:lineRule="auto"/>
        <w:ind w:firstLine="560"/>
        <w:rPr>
          <w:rFonts w:hint="eastAsia" w:ascii="仿宋_GB2312" w:hAnsi="仿宋" w:cs="宋体"/>
          <w:color w:val="auto"/>
          <w:kern w:val="0"/>
          <w:szCs w:val="28"/>
          <w:highlight w:val="none"/>
          <w:lang w:val="en-US" w:eastAsia="zh-CN"/>
        </w:rPr>
      </w:pPr>
      <w:r>
        <w:rPr>
          <w:rFonts w:hint="eastAsia" w:ascii="仿宋_GB2312" w:hAnsi="仿宋" w:cs="宋体"/>
          <w:color w:val="auto"/>
          <w:kern w:val="0"/>
          <w:szCs w:val="28"/>
          <w:highlight w:val="none"/>
          <w:lang w:val="en-US" w:eastAsia="zh-CN"/>
        </w:rPr>
        <w:t>6.建立健全绩效评价结果深度应用机制，将结果与预算安排、项目调整、政策优化、责任追究等紧密挂钩。对绩效评价结果进行全面深入分析，形成详细的分析报告，向街道领导和各科室反馈，为决策提供依据。同时，加强对绩效评价结果整改情况的跟踪监督，确保问题整改落实到位，不断提升预算绩效管理水平 。</w:t>
      </w:r>
    </w:p>
    <w:p w14:paraId="7D5FECEF">
      <w:pPr>
        <w:pStyle w:val="2"/>
        <w:ind w:firstLine="0" w:firstLineChars="0"/>
        <w:jc w:val="left"/>
        <w:rPr>
          <w:rFonts w:ascii="仿宋" w:hAnsi="仿宋" w:eastAsia="仿宋"/>
          <w:color w:val="auto"/>
          <w:sz w:val="36"/>
          <w:szCs w:val="36"/>
          <w:highlight w:val="none"/>
          <w:lang w:bidi="en-US"/>
        </w:rPr>
      </w:pPr>
      <w:bookmarkStart w:id="62" w:name="_Toc196487571"/>
      <w:r>
        <w:rPr>
          <w:rFonts w:hint="eastAsia" w:ascii="仿宋" w:hAnsi="仿宋" w:eastAsia="仿宋"/>
          <w:color w:val="auto"/>
          <w:sz w:val="36"/>
          <w:szCs w:val="36"/>
          <w:highlight w:val="none"/>
          <w:lang w:bidi="en-US"/>
        </w:rPr>
        <w:t>七、其他需要说明的问题</w:t>
      </w:r>
      <w:bookmarkEnd w:id="61"/>
      <w:bookmarkEnd w:id="62"/>
    </w:p>
    <w:p w14:paraId="7B230EB7">
      <w:pPr>
        <w:spacing w:line="360" w:lineRule="auto"/>
        <w:ind w:firstLine="560"/>
        <w:rPr>
          <w:rFonts w:ascii="仿宋_GB2312"/>
          <w:color w:val="auto"/>
          <w:szCs w:val="28"/>
          <w:highlight w:val="none"/>
        </w:rPr>
      </w:pPr>
      <w:r>
        <w:rPr>
          <w:rFonts w:hint="eastAsia" w:ascii="仿宋_GB2312"/>
          <w:color w:val="auto"/>
          <w:szCs w:val="28"/>
          <w:highlight w:val="none"/>
        </w:rPr>
        <w:t>1</w:t>
      </w:r>
      <w:r>
        <w:rPr>
          <w:rFonts w:ascii="仿宋_GB2312"/>
          <w:color w:val="auto"/>
          <w:szCs w:val="28"/>
          <w:highlight w:val="none"/>
        </w:rPr>
        <w:t>.</w:t>
      </w:r>
      <w:r>
        <w:rPr>
          <w:rFonts w:hint="eastAsia" w:ascii="仿宋_GB2312"/>
          <w:color w:val="auto"/>
          <w:szCs w:val="28"/>
          <w:highlight w:val="none"/>
        </w:rPr>
        <w:t>项目支出政策和路径设计科学，符合实际需要；</w:t>
      </w:r>
    </w:p>
    <w:p w14:paraId="0905BC30">
      <w:pPr>
        <w:spacing w:line="360" w:lineRule="auto"/>
        <w:ind w:firstLine="560"/>
        <w:rPr>
          <w:rFonts w:ascii="仿宋_GB2312"/>
          <w:color w:val="auto"/>
          <w:szCs w:val="28"/>
          <w:highlight w:val="none"/>
        </w:rPr>
      </w:pPr>
      <w:r>
        <w:rPr>
          <w:rFonts w:ascii="仿宋_GB2312"/>
          <w:color w:val="auto"/>
          <w:szCs w:val="28"/>
          <w:highlight w:val="none"/>
        </w:rPr>
        <w:t>2.</w:t>
      </w:r>
      <w:r>
        <w:rPr>
          <w:rFonts w:hint="eastAsia" w:ascii="仿宋_GB2312"/>
          <w:color w:val="auto"/>
          <w:szCs w:val="28"/>
          <w:highlight w:val="none"/>
        </w:rPr>
        <w:t>项目安排准确，未发现背离项目立项初衷的情况；</w:t>
      </w:r>
    </w:p>
    <w:p w14:paraId="536808A5">
      <w:pPr>
        <w:spacing w:line="360" w:lineRule="auto"/>
        <w:ind w:firstLine="560"/>
        <w:rPr>
          <w:rFonts w:ascii="仿宋_GB2312"/>
          <w:color w:val="auto"/>
          <w:szCs w:val="28"/>
          <w:highlight w:val="none"/>
        </w:rPr>
      </w:pPr>
      <w:r>
        <w:rPr>
          <w:rFonts w:ascii="仿宋_GB2312"/>
          <w:color w:val="auto"/>
          <w:szCs w:val="28"/>
          <w:highlight w:val="none"/>
        </w:rPr>
        <w:t>3.</w:t>
      </w:r>
      <w:r>
        <w:rPr>
          <w:rFonts w:hint="eastAsia" w:ascii="仿宋_GB2312"/>
          <w:color w:val="auto"/>
          <w:szCs w:val="28"/>
          <w:highlight w:val="none"/>
        </w:rPr>
        <w:t>项目的申报、审核机制完善；</w:t>
      </w:r>
    </w:p>
    <w:p w14:paraId="5255AA24">
      <w:pPr>
        <w:spacing w:line="360" w:lineRule="auto"/>
        <w:ind w:firstLine="560"/>
        <w:rPr>
          <w:rFonts w:ascii="仿宋_GB2312"/>
          <w:color w:val="auto"/>
          <w:szCs w:val="28"/>
          <w:highlight w:val="none"/>
        </w:rPr>
      </w:pPr>
      <w:r>
        <w:rPr>
          <w:rFonts w:ascii="仿宋_GB2312"/>
          <w:color w:val="auto"/>
          <w:szCs w:val="28"/>
          <w:highlight w:val="none"/>
        </w:rPr>
        <w:t>4.</w:t>
      </w:r>
      <w:r>
        <w:rPr>
          <w:rFonts w:hint="eastAsia" w:ascii="仿宋_GB2312"/>
          <w:color w:val="auto"/>
          <w:szCs w:val="28"/>
          <w:highlight w:val="none"/>
        </w:rPr>
        <w:t>未发现虚假行为和骗取财政资金的问题。</w:t>
      </w:r>
    </w:p>
    <w:p w14:paraId="6F74B1AC">
      <w:pPr>
        <w:spacing w:line="360" w:lineRule="auto"/>
        <w:ind w:firstLine="560"/>
        <w:rPr>
          <w:rFonts w:ascii="仿宋_GB2312"/>
          <w:color w:val="auto"/>
          <w:szCs w:val="28"/>
          <w:highlight w:val="none"/>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Gungsuh">
    <w:altName w:val="Malgun Gothic"/>
    <w:panose1 w:val="00000000000000000000"/>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AB64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8519C">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AB580">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14:paraId="6210DC4E">
        <w:pPr>
          <w:pStyle w:val="8"/>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14:paraId="2013B35D">
    <w:pPr>
      <w:pStyle w:val="8"/>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14:paraId="14EB81CF">
        <w:pPr>
          <w:pStyle w:val="8"/>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14:paraId="02FAA7B0">
    <w:pPr>
      <w:pStyle w:val="8"/>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0A650235">
      <w:pPr>
        <w:pStyle w:val="11"/>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6328D348">
      <w:pPr>
        <w:pStyle w:val="11"/>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B316E">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8A34E">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FEF67">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D4BB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0BDB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74FC318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autoRedefine/>
    <w:unhideWhenUsed/>
    <w:qFormat/>
    <w:uiPriority w:val="39"/>
    <w:pPr>
      <w:ind w:left="840" w:leftChars="400"/>
    </w:pPr>
  </w:style>
  <w:style w:type="paragraph" w:styleId="6">
    <w:name w:val="Date"/>
    <w:basedOn w:val="1"/>
    <w:next w:val="1"/>
    <w:link w:val="24"/>
    <w:semiHidden/>
    <w:unhideWhenUsed/>
    <w:qFormat/>
    <w:uiPriority w:val="99"/>
    <w:pPr>
      <w:ind w:left="100" w:leftChars="2500"/>
    </w:pPr>
  </w:style>
  <w:style w:type="paragraph" w:styleId="7">
    <w:name w:val="Balloon Text"/>
    <w:basedOn w:val="1"/>
    <w:link w:val="33"/>
    <w:semiHidden/>
    <w:unhideWhenUsed/>
    <w:qFormat/>
    <w:uiPriority w:val="99"/>
    <w:rPr>
      <w:sz w:val="18"/>
      <w:szCs w:val="18"/>
    </w:rPr>
  </w:style>
  <w:style w:type="paragraph" w:styleId="8">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0">
    <w:name w:val="toc 1"/>
    <w:basedOn w:val="1"/>
    <w:next w:val="1"/>
    <w:autoRedefine/>
    <w:unhideWhenUsed/>
    <w:qFormat/>
    <w:uiPriority w:val="39"/>
  </w:style>
  <w:style w:type="paragraph" w:styleId="11">
    <w:name w:val="footnote text"/>
    <w:basedOn w:val="1"/>
    <w:link w:val="26"/>
    <w:semiHidden/>
    <w:unhideWhenUsed/>
    <w:qFormat/>
    <w:uiPriority w:val="99"/>
    <w:pPr>
      <w:snapToGrid w:val="0"/>
      <w:jc w:val="left"/>
    </w:pPr>
    <w:rPr>
      <w:sz w:val="18"/>
      <w:szCs w:val="18"/>
    </w:rPr>
  </w:style>
  <w:style w:type="paragraph" w:styleId="12">
    <w:name w:val="toc 2"/>
    <w:basedOn w:val="1"/>
    <w:next w:val="1"/>
    <w:autoRedefine/>
    <w:unhideWhenUsed/>
    <w:qFormat/>
    <w:uiPriority w:val="39"/>
    <w:pPr>
      <w:ind w:left="420" w:leftChars="200"/>
    </w:p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footnote reference"/>
    <w:basedOn w:val="16"/>
    <w:semiHidden/>
    <w:unhideWhenUsed/>
    <w:qFormat/>
    <w:uiPriority w:val="99"/>
    <w:rPr>
      <w:vertAlign w:val="superscript"/>
    </w:rPr>
  </w:style>
  <w:style w:type="paragraph" w:customStyle="1" w:styleId="19">
    <w:name w:val="Comment Text"/>
    <w:basedOn w:val="1"/>
    <w:link w:val="31"/>
    <w:unhideWhenUsed/>
    <w:qFormat/>
    <w:uiPriority w:val="99"/>
    <w:pPr>
      <w:jc w:val="left"/>
    </w:pPr>
  </w:style>
  <w:style w:type="paragraph" w:customStyle="1" w:styleId="20">
    <w:name w:val="Comment Subject"/>
    <w:basedOn w:val="19"/>
    <w:next w:val="19"/>
    <w:link w:val="32"/>
    <w:semiHidden/>
    <w:unhideWhenUsed/>
    <w:qFormat/>
    <w:uiPriority w:val="99"/>
    <w:rPr>
      <w:b/>
      <w:bCs/>
    </w:rPr>
  </w:style>
  <w:style w:type="character" w:customStyle="1" w:styleId="21">
    <w:name w:val="Comment Reference"/>
    <w:basedOn w:val="16"/>
    <w:semiHidden/>
    <w:unhideWhenUsed/>
    <w:qFormat/>
    <w:uiPriority w:val="99"/>
    <w:rPr>
      <w:sz w:val="21"/>
      <w:szCs w:val="21"/>
    </w:rPr>
  </w:style>
  <w:style w:type="character" w:customStyle="1" w:styleId="22">
    <w:name w:val="页眉 Char"/>
    <w:basedOn w:val="16"/>
    <w:link w:val="9"/>
    <w:qFormat/>
    <w:uiPriority w:val="99"/>
    <w:rPr>
      <w:sz w:val="18"/>
      <w:szCs w:val="18"/>
    </w:rPr>
  </w:style>
  <w:style w:type="character" w:customStyle="1" w:styleId="23">
    <w:name w:val="页脚 Char"/>
    <w:basedOn w:val="16"/>
    <w:link w:val="8"/>
    <w:qFormat/>
    <w:uiPriority w:val="99"/>
    <w:rPr>
      <w:sz w:val="18"/>
      <w:szCs w:val="18"/>
    </w:rPr>
  </w:style>
  <w:style w:type="character" w:customStyle="1" w:styleId="24">
    <w:name w:val="日期 Char"/>
    <w:basedOn w:val="16"/>
    <w:link w:val="6"/>
    <w:semiHidden/>
    <w:qFormat/>
    <w:uiPriority w:val="99"/>
    <w:rPr>
      <w:rFonts w:ascii="Calibri" w:hAnsi="Calibri" w:eastAsia="仿宋_GB2312" w:cs="黑体"/>
      <w:sz w:val="28"/>
    </w:rPr>
  </w:style>
  <w:style w:type="character" w:customStyle="1" w:styleId="25">
    <w:name w:val="标题 2 Char"/>
    <w:basedOn w:val="16"/>
    <w:link w:val="3"/>
    <w:qFormat/>
    <w:uiPriority w:val="9"/>
    <w:rPr>
      <w:rFonts w:asciiTheme="majorHAnsi" w:hAnsiTheme="majorHAnsi" w:eastAsiaTheme="majorEastAsia" w:cstheme="majorBidi"/>
      <w:b/>
      <w:bCs/>
      <w:sz w:val="32"/>
      <w:szCs w:val="32"/>
    </w:rPr>
  </w:style>
  <w:style w:type="character" w:customStyle="1" w:styleId="26">
    <w:name w:val="脚注文本 Char"/>
    <w:basedOn w:val="16"/>
    <w:link w:val="11"/>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6"/>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6"/>
    <w:link w:val="19"/>
    <w:qFormat/>
    <w:uiPriority w:val="99"/>
    <w:rPr>
      <w:rFonts w:ascii="Calibri" w:hAnsi="Calibri" w:eastAsia="仿宋_GB2312" w:cs="黑体"/>
      <w:sz w:val="28"/>
    </w:rPr>
  </w:style>
  <w:style w:type="character" w:customStyle="1" w:styleId="32">
    <w:name w:val="批注主题 Char"/>
    <w:basedOn w:val="31"/>
    <w:link w:val="20"/>
    <w:semiHidden/>
    <w:qFormat/>
    <w:uiPriority w:val="99"/>
    <w:rPr>
      <w:rFonts w:ascii="Calibri" w:hAnsi="Calibri" w:eastAsia="仿宋_GB2312" w:cs="黑体"/>
      <w:b/>
      <w:bCs/>
      <w:sz w:val="28"/>
    </w:rPr>
  </w:style>
  <w:style w:type="character" w:customStyle="1" w:styleId="33">
    <w:name w:val="批注框文本 Char"/>
    <w:basedOn w:val="16"/>
    <w:link w:val="7"/>
    <w:semiHidden/>
    <w:qFormat/>
    <w:uiPriority w:val="99"/>
    <w:rPr>
      <w:rFonts w:ascii="Calibri" w:hAnsi="Calibri" w:eastAsia="仿宋_GB2312" w:cs="黑体"/>
      <w:sz w:val="18"/>
      <w:szCs w:val="18"/>
    </w:rPr>
  </w:style>
  <w:style w:type="character" w:customStyle="1" w:styleId="34">
    <w:name w:val="标题 3 Char"/>
    <w:basedOn w:val="16"/>
    <w:link w:val="4"/>
    <w:qFormat/>
    <w:uiPriority w:val="9"/>
    <w:rPr>
      <w:rFonts w:ascii="Calibri" w:hAnsi="Calibri" w:eastAsia="仿宋_GB2312" w:cs="黑体"/>
      <w:b/>
      <w:bCs/>
      <w:sz w:val="32"/>
      <w:szCs w:val="32"/>
    </w:rPr>
  </w:style>
  <w:style w:type="paragraph" w:customStyle="1" w:styleId="35">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eyJoZGlkIjoiYjk1MzEzZjBmYTYyYTkwZGQ2MTUwYTgwZTFjYTAyNWYiLCJ1c2VySWQiOiIxMDEzNDMxMDE3In0=</vt:lpwstr>
  </property>
  <property fmtid="{D5CDD505-2E9C-101B-9397-08002B2CF9AE}" pid="3" name="KSOProductBuildVer">
    <vt:lpwstr>2052-12.1.0.21541</vt:lpwstr>
  </property>
  <property fmtid="{D5CDD505-2E9C-101B-9397-08002B2CF9AE}" pid="4" name="ICV">
    <vt:lpwstr>AE4F9B9F9F374CA18882751373876B2A_12</vt:lpwstr>
  </property>
</Properties>
</file>

<file path=customXml/itemProps1.xml><?xml version="1.0" encoding="utf-8"?>
<ds:datastoreItem xmlns:ds="http://schemas.openxmlformats.org/officeDocument/2006/customXml" ds:itemID="{1AF72445-BB0D-49D7-8B19-4B216F245C12}">
  <ds:schemaRefs/>
</ds:datastoreItem>
</file>

<file path=customXml/itemProps2.xml><?xml version="1.0" encoding="utf-8"?>
<ds:datastoreItem xmlns:ds="http://schemas.openxmlformats.org/officeDocument/2006/customXml" ds:itemID="{4797c106-578b-4db0-a440-b67483fb38e5}">
  <ds:schemaRefs/>
</ds:datastoreItem>
</file>

<file path=docProps/app.xml><?xml version="1.0" encoding="utf-8"?>
<Properties xmlns="http://schemas.openxmlformats.org/officeDocument/2006/extended-properties" xmlns:vt="http://schemas.openxmlformats.org/officeDocument/2006/docPropsVTypes">
  <Template>Normal</Template>
  <Pages>35</Pages>
  <Words>16081</Words>
  <Characters>16682</Characters>
  <Lines>81</Lines>
  <Paragraphs>23</Paragraphs>
  <TotalTime>2</TotalTime>
  <ScaleCrop>false</ScaleCrop>
  <LinksUpToDate>false</LinksUpToDate>
  <CharactersWithSpaces>16825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2025-04-25T07:26:00Z</dcterms:created>
  <dc:creator>张 宇</dc:creator>
  <cp:lastModifiedBy>雨。</cp:lastModifiedBy>
  <cp:lastPrinted>2025-06-27T07:31:00Z</cp:lastPrinted>
  <dcterms:modified xsi:type="dcterms:W3CDTF">2025-11-05T05:16:57Z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eyJoZGlkIjoiYjk1MzEzZjBmYTYyYTkwZGQ2MTUwYTgwZTFjYTAyNWYiLCJ1c2VySWQiOiIxMDEzNDMxMDE3In0_x003D_</vt:lpwstr>
  </property>
  <property fmtid="{D5CDD505-2E9C-101B-9397-08002B2CF9AE}" pid="3" name="KSOProductBuildVer">
    <vt:lpwstr>2052-12.1.0.18608</vt:lpwstr>
  </property>
  <property fmtid="{D5CDD505-2E9C-101B-9397-08002B2CF9AE}" pid="4" name="ICV">
    <vt:lpwstr>AE4F9B9F9F374CA18882751373876B2A_12</vt:lpwstr>
  </property>
</Properties>
</file>